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63330" w14:textId="414447DC" w:rsidR="00F25855" w:rsidRPr="0031368E" w:rsidRDefault="00000000" w:rsidP="001C3AE0">
      <w:pPr>
        <w:spacing w:after="10"/>
        <w:jc w:val="center"/>
        <w:rPr>
          <w:sz w:val="24"/>
          <w:szCs w:val="24"/>
        </w:rPr>
      </w:pPr>
      <w:r w:rsidRPr="0031368E">
        <w:rPr>
          <w:b/>
          <w:bCs/>
          <w:sz w:val="24"/>
          <w:szCs w:val="24"/>
        </w:rPr>
        <w:t>Matriz de selección de marcos de gobierno y gestión de TI</w:t>
      </w:r>
      <w:r w:rsidR="00F13F99">
        <w:rPr>
          <w:b/>
          <w:bCs/>
          <w:sz w:val="24"/>
          <w:szCs w:val="24"/>
        </w:rPr>
        <w:t xml:space="preserve"> –</w:t>
      </w:r>
      <w:r w:rsidRPr="0031368E">
        <w:rPr>
          <w:b/>
          <w:bCs/>
          <w:sz w:val="24"/>
          <w:szCs w:val="24"/>
        </w:rPr>
        <w:t xml:space="preserve"> Caso Nueva EPS S.A.</w:t>
      </w:r>
    </w:p>
    <w:p w14:paraId="219DDC6E" w14:textId="753ED5E2" w:rsidR="00C53E55" w:rsidRPr="0031368E" w:rsidRDefault="00000000" w:rsidP="001C3AE0">
      <w:pPr>
        <w:pBdr>
          <w:bottom w:val="single" w:sz="6" w:space="2" w:color="1F3A5F"/>
        </w:pBdr>
        <w:spacing w:after="40"/>
        <w:jc w:val="center"/>
        <w:rPr>
          <w:sz w:val="24"/>
          <w:szCs w:val="24"/>
        </w:rPr>
      </w:pPr>
      <w:r w:rsidRPr="0031368E">
        <w:rPr>
          <w:sz w:val="24"/>
          <w:szCs w:val="24"/>
        </w:rPr>
        <w:t>Taller de análisis comparativo de marcos (Unidad 2</w:t>
      </w:r>
      <w:r w:rsidR="00F13F99">
        <w:rPr>
          <w:sz w:val="24"/>
          <w:szCs w:val="24"/>
        </w:rPr>
        <w:t xml:space="preserve"> Actividad 1</w:t>
      </w:r>
      <w:r w:rsidRPr="0031368E">
        <w:rPr>
          <w:sz w:val="24"/>
          <w:szCs w:val="24"/>
        </w:rPr>
        <w:t>)</w:t>
      </w:r>
    </w:p>
    <w:p w14:paraId="4AF63331" w14:textId="4D3C841C" w:rsidR="00F25855" w:rsidRPr="0031368E" w:rsidRDefault="00000000" w:rsidP="001C3AE0">
      <w:pPr>
        <w:pBdr>
          <w:bottom w:val="single" w:sz="6" w:space="2" w:color="1F3A5F"/>
        </w:pBdr>
        <w:spacing w:after="40"/>
        <w:jc w:val="center"/>
        <w:rPr>
          <w:sz w:val="24"/>
          <w:szCs w:val="24"/>
        </w:rPr>
      </w:pPr>
      <w:r w:rsidRPr="0031368E">
        <w:rPr>
          <w:sz w:val="24"/>
          <w:szCs w:val="24"/>
        </w:rPr>
        <w:t>Campo Ariza</w:t>
      </w:r>
      <w:r w:rsidR="00C53E55" w:rsidRPr="0031368E">
        <w:rPr>
          <w:sz w:val="24"/>
          <w:szCs w:val="24"/>
        </w:rPr>
        <w:t xml:space="preserve">, </w:t>
      </w:r>
      <w:r w:rsidR="00C53E55" w:rsidRPr="0031368E">
        <w:rPr>
          <w:sz w:val="24"/>
          <w:szCs w:val="24"/>
        </w:rPr>
        <w:t>Felix Mauricio</w:t>
      </w:r>
      <w:r w:rsidRPr="0031368E">
        <w:rPr>
          <w:sz w:val="24"/>
          <w:szCs w:val="24"/>
        </w:rPr>
        <w:t xml:space="preserve"> </w:t>
      </w:r>
      <w:r w:rsidR="00C53E55" w:rsidRPr="0031368E">
        <w:rPr>
          <w:sz w:val="24"/>
          <w:szCs w:val="24"/>
        </w:rPr>
        <w:t>–</w:t>
      </w:r>
      <w:r w:rsidR="0031368E">
        <w:rPr>
          <w:sz w:val="24"/>
          <w:szCs w:val="24"/>
        </w:rPr>
        <w:t xml:space="preserve"> </w:t>
      </w:r>
      <w:r w:rsidRPr="0031368E">
        <w:rPr>
          <w:sz w:val="24"/>
          <w:szCs w:val="24"/>
        </w:rPr>
        <w:t>Toledo Lugo</w:t>
      </w:r>
      <w:r w:rsidR="00C53E55" w:rsidRPr="0031368E">
        <w:rPr>
          <w:sz w:val="24"/>
          <w:szCs w:val="24"/>
        </w:rPr>
        <w:t xml:space="preserve">, </w:t>
      </w:r>
      <w:r w:rsidR="00C53E55" w:rsidRPr="0031368E">
        <w:rPr>
          <w:sz w:val="24"/>
          <w:szCs w:val="24"/>
        </w:rPr>
        <w:t>Pablo Andrés</w:t>
      </w:r>
    </w:p>
    <w:p w14:paraId="4AF63332" w14:textId="5ACDBDD1" w:rsidR="00F25855" w:rsidRDefault="00000000">
      <w:pPr>
        <w:spacing w:after="20"/>
        <w:jc w:val="both"/>
      </w:pPr>
      <w:r w:rsidRPr="001C3AE0">
        <w:rPr>
          <w:b/>
          <w:bCs/>
        </w:rPr>
        <w:t xml:space="preserve">Problema de gobierno: </w:t>
      </w:r>
      <w:r w:rsidRPr="001C3AE0">
        <w:t>Nueva EPS carece de mecanismos de gobierno de TI que aseguren que la información de cuentas médicas sea procesada, auditada y reportada de forma oportuna, trazable y conforme con la regulación. Brechas: B1 capacidad de procesamiento, B2 gobierno de datos, B3 integración cuentas médicas y contabilidad, B4 estructura de decisión de TI, B5 experiencia y continuidad del servicio (hipótesis H1 a H7, Bitácora n.º 1).</w:t>
      </w:r>
    </w:p>
    <w:p w14:paraId="3CACE93C" w14:textId="77777777" w:rsidR="0031368E" w:rsidRPr="001C3AE0" w:rsidRDefault="0031368E">
      <w:pPr>
        <w:spacing w:after="20"/>
        <w:jc w:val="both"/>
      </w:pPr>
    </w:p>
    <w:p w14:paraId="4AF63333" w14:textId="77777777" w:rsidR="00F25855" w:rsidRPr="001C3AE0" w:rsidRDefault="00000000">
      <w:pPr>
        <w:spacing w:before="40" w:after="15"/>
      </w:pPr>
      <w:r w:rsidRPr="001C3AE0">
        <w:rPr>
          <w:b/>
          <w:bCs/>
          <w:sz w:val="17"/>
          <w:szCs w:val="17"/>
        </w:rPr>
        <w:t>1. Comparación de marcos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300"/>
        <w:gridCol w:w="3300"/>
        <w:gridCol w:w="3300"/>
        <w:gridCol w:w="3300"/>
      </w:tblGrid>
      <w:tr w:rsidR="00F25855" w:rsidRPr="001C3AE0" w14:paraId="4AF63339" w14:textId="77777777" w:rsidTr="001A529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A5C9EB" w:themeFill="text2" w:themeFillTint="40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4AF63334" w14:textId="77777777" w:rsidR="00F25855" w:rsidRPr="001C3AE0" w:rsidRDefault="00000000">
            <w:pPr>
              <w:spacing w:line="200" w:lineRule="auto"/>
              <w:jc w:val="center"/>
            </w:pPr>
            <w:r w:rsidRPr="001C3AE0">
              <w:rPr>
                <w:b/>
                <w:bCs/>
                <w:sz w:val="14"/>
                <w:szCs w:val="14"/>
              </w:rPr>
              <w:t>Dimensión</w:t>
            </w:r>
          </w:p>
        </w:tc>
        <w:tc>
          <w:tcPr>
            <w:tcW w:w="3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A5C9EB" w:themeFill="text2" w:themeFillTint="40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4AF63335" w14:textId="77777777" w:rsidR="00F25855" w:rsidRPr="001C3AE0" w:rsidRDefault="00000000">
            <w:pPr>
              <w:spacing w:line="200" w:lineRule="auto"/>
              <w:jc w:val="center"/>
            </w:pPr>
            <w:r w:rsidRPr="001C3AE0">
              <w:rPr>
                <w:b/>
                <w:bCs/>
                <w:sz w:val="14"/>
                <w:szCs w:val="14"/>
              </w:rPr>
              <w:t>COBIT 2019 (ISACA)</w:t>
            </w:r>
          </w:p>
        </w:tc>
        <w:tc>
          <w:tcPr>
            <w:tcW w:w="3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A5C9EB" w:themeFill="text2" w:themeFillTint="40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4AF63336" w14:textId="77777777" w:rsidR="00F25855" w:rsidRPr="001C3AE0" w:rsidRDefault="00000000">
            <w:pPr>
              <w:spacing w:line="200" w:lineRule="auto"/>
              <w:jc w:val="center"/>
            </w:pPr>
            <w:r w:rsidRPr="001C3AE0">
              <w:rPr>
                <w:b/>
                <w:bCs/>
                <w:sz w:val="14"/>
                <w:szCs w:val="14"/>
              </w:rPr>
              <w:t>ITIL 4 (AXELOS)</w:t>
            </w:r>
          </w:p>
        </w:tc>
        <w:tc>
          <w:tcPr>
            <w:tcW w:w="3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A5C9EB" w:themeFill="text2" w:themeFillTint="40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4AF63337" w14:textId="77777777" w:rsidR="00F25855" w:rsidRPr="001C3AE0" w:rsidRDefault="00000000">
            <w:pPr>
              <w:spacing w:line="200" w:lineRule="auto"/>
              <w:jc w:val="center"/>
            </w:pPr>
            <w:r w:rsidRPr="001C3AE0">
              <w:rPr>
                <w:b/>
                <w:bCs/>
                <w:sz w:val="14"/>
                <w:szCs w:val="14"/>
              </w:rPr>
              <w:t>NIST AI RMF 1.0</w:t>
            </w:r>
          </w:p>
        </w:tc>
        <w:tc>
          <w:tcPr>
            <w:tcW w:w="3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A5C9EB" w:themeFill="text2" w:themeFillTint="40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4AF63338" w14:textId="77777777" w:rsidR="00F25855" w:rsidRPr="001C3AE0" w:rsidRDefault="00000000">
            <w:pPr>
              <w:spacing w:line="200" w:lineRule="auto"/>
              <w:jc w:val="center"/>
            </w:pPr>
            <w:r w:rsidRPr="001C3AE0">
              <w:rPr>
                <w:b/>
                <w:bCs/>
                <w:sz w:val="14"/>
                <w:szCs w:val="14"/>
              </w:rPr>
              <w:t>MGGTI del MRAE (MinTIC)</w:t>
            </w:r>
          </w:p>
        </w:tc>
      </w:tr>
      <w:tr w:rsidR="00F25855" w:rsidRPr="001C3AE0" w14:paraId="4AF6333F" w14:textId="77777777" w:rsidTr="00B3191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AE9F7" w:themeFill="text2" w:themeFillTint="1A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4AF6333A" w14:textId="77777777" w:rsidR="00F25855" w:rsidRPr="001C3AE0" w:rsidRDefault="00000000">
            <w:pPr>
              <w:spacing w:line="200" w:lineRule="auto"/>
            </w:pPr>
            <w:r w:rsidRPr="001C3AE0">
              <w:rPr>
                <w:b/>
                <w:bCs/>
                <w:sz w:val="14"/>
                <w:szCs w:val="14"/>
              </w:rPr>
              <w:t>Propósito</w:t>
            </w:r>
          </w:p>
        </w:tc>
        <w:tc>
          <w:tcPr>
            <w:tcW w:w="3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4AF6333B" w14:textId="77777777" w:rsidR="00F25855" w:rsidRPr="001C3AE0" w:rsidRDefault="00000000">
            <w:pPr>
              <w:spacing w:line="200" w:lineRule="auto"/>
            </w:pPr>
            <w:r w:rsidRPr="001C3AE0">
              <w:rPr>
                <w:sz w:val="14"/>
                <w:szCs w:val="14"/>
              </w:rPr>
              <w:t>Gobernar y gestionar la información y la tecnología de toda la empresa para crear valor equilibrando beneficios, riesgo y recursos (ISACA, 2018).</w:t>
            </w:r>
          </w:p>
        </w:tc>
        <w:tc>
          <w:tcPr>
            <w:tcW w:w="3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4AF6333C" w14:textId="77777777" w:rsidR="00F25855" w:rsidRPr="001C3AE0" w:rsidRDefault="00000000">
            <w:pPr>
              <w:spacing w:line="200" w:lineRule="auto"/>
            </w:pPr>
            <w:r w:rsidRPr="001C3AE0">
              <w:rPr>
                <w:sz w:val="14"/>
                <w:szCs w:val="14"/>
              </w:rPr>
              <w:t xml:space="preserve">Gestionar servicios de TI para </w:t>
            </w:r>
            <w:proofErr w:type="spellStart"/>
            <w:r w:rsidRPr="001C3AE0">
              <w:rPr>
                <w:sz w:val="14"/>
                <w:szCs w:val="14"/>
              </w:rPr>
              <w:t>co-crear</w:t>
            </w:r>
            <w:proofErr w:type="spellEnd"/>
            <w:r w:rsidRPr="001C3AE0">
              <w:rPr>
                <w:sz w:val="14"/>
                <w:szCs w:val="14"/>
              </w:rPr>
              <w:t xml:space="preserve"> valor con los usuarios mediante el sistema de valor del servicio (AXELOS, 2019).</w:t>
            </w:r>
          </w:p>
        </w:tc>
        <w:tc>
          <w:tcPr>
            <w:tcW w:w="3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4AF6333D" w14:textId="77777777" w:rsidR="00F25855" w:rsidRPr="001C3AE0" w:rsidRDefault="00000000">
            <w:pPr>
              <w:spacing w:line="200" w:lineRule="auto"/>
            </w:pPr>
            <w:r w:rsidRPr="001C3AE0">
              <w:rPr>
                <w:sz w:val="14"/>
                <w:szCs w:val="14"/>
              </w:rPr>
              <w:t>Gestionar los riesgos de los sistemas de inteligencia artificial y promover su confiabilidad; marco voluntario (NIST, 2023).</w:t>
            </w:r>
          </w:p>
        </w:tc>
        <w:tc>
          <w:tcPr>
            <w:tcW w:w="3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4AF6333E" w14:textId="77777777" w:rsidR="00F25855" w:rsidRPr="001C3AE0" w:rsidRDefault="00000000">
            <w:pPr>
              <w:spacing w:line="200" w:lineRule="auto"/>
            </w:pPr>
            <w:r w:rsidRPr="001C3AE0">
              <w:rPr>
                <w:sz w:val="14"/>
                <w:szCs w:val="14"/>
              </w:rPr>
              <w:t>Orientar a las entidades públicas colombianas en la gestión y el gobierno de TI dentro de la Política de Gobierno Digital (MinTIC, 2022).</w:t>
            </w:r>
          </w:p>
        </w:tc>
      </w:tr>
      <w:tr w:rsidR="00F25855" w:rsidRPr="001C3AE0" w14:paraId="4AF63345" w14:textId="77777777" w:rsidTr="00B3191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AE9F7" w:themeFill="text2" w:themeFillTint="1A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4AF63340" w14:textId="77777777" w:rsidR="00F25855" w:rsidRPr="001C3AE0" w:rsidRDefault="00000000">
            <w:pPr>
              <w:spacing w:line="200" w:lineRule="auto"/>
            </w:pPr>
            <w:r w:rsidRPr="001C3AE0">
              <w:rPr>
                <w:b/>
                <w:bCs/>
                <w:sz w:val="14"/>
                <w:szCs w:val="14"/>
              </w:rPr>
              <w:t>Alcance</w:t>
            </w:r>
          </w:p>
        </w:tc>
        <w:tc>
          <w:tcPr>
            <w:tcW w:w="3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4AF63341" w14:textId="77777777" w:rsidR="00F25855" w:rsidRPr="001C3AE0" w:rsidRDefault="00000000">
            <w:pPr>
              <w:spacing w:line="200" w:lineRule="auto"/>
            </w:pPr>
            <w:r w:rsidRPr="001C3AE0">
              <w:rPr>
                <w:sz w:val="14"/>
                <w:szCs w:val="14"/>
              </w:rPr>
              <w:t>Toda la empresa: 40 objetivos en cinco dominios (EDM, APO, BAI, DSS, MEA), siete componentes y factores de diseño.</w:t>
            </w:r>
          </w:p>
        </w:tc>
        <w:tc>
          <w:tcPr>
            <w:tcW w:w="3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4AF63342" w14:textId="77777777" w:rsidR="00F25855" w:rsidRPr="001C3AE0" w:rsidRDefault="00000000">
            <w:pPr>
              <w:spacing w:line="200" w:lineRule="auto"/>
            </w:pPr>
            <w:r w:rsidRPr="001C3AE0">
              <w:rPr>
                <w:sz w:val="14"/>
                <w:szCs w:val="14"/>
              </w:rPr>
              <w:t>Ciclo de vida de los servicios: 34 prácticas y la cadena de valor del servicio. No aborda el gobierno corporativo de TI.</w:t>
            </w:r>
          </w:p>
        </w:tc>
        <w:tc>
          <w:tcPr>
            <w:tcW w:w="3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4AF63343" w14:textId="77777777" w:rsidR="00F25855" w:rsidRPr="001C3AE0" w:rsidRDefault="00000000">
            <w:pPr>
              <w:spacing w:line="200" w:lineRule="auto"/>
            </w:pPr>
            <w:r w:rsidRPr="001C3AE0">
              <w:rPr>
                <w:sz w:val="14"/>
                <w:szCs w:val="14"/>
              </w:rPr>
              <w:t>Ciclo de vida de los sistemas de IA: cuatro funciones (Gobernar, Mapear, Medir, Gestionar) y perfiles por caso de uso. No cubre la TI general.</w:t>
            </w:r>
          </w:p>
        </w:tc>
        <w:tc>
          <w:tcPr>
            <w:tcW w:w="3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4AF63344" w14:textId="77777777" w:rsidR="00F25855" w:rsidRPr="001C3AE0" w:rsidRDefault="00000000">
            <w:pPr>
              <w:spacing w:line="200" w:lineRule="auto"/>
            </w:pPr>
            <w:r w:rsidRPr="001C3AE0">
              <w:rPr>
                <w:sz w:val="14"/>
                <w:szCs w:val="14"/>
              </w:rPr>
              <w:t>Seis dominios (estrategia, gobierno, gestión de información, sistemas de información, servicios de TI, uso y apropiación) con lineamientos y evidencias.</w:t>
            </w:r>
          </w:p>
        </w:tc>
      </w:tr>
      <w:tr w:rsidR="00F25855" w:rsidRPr="001C3AE0" w14:paraId="4AF6334B" w14:textId="77777777" w:rsidTr="00B3191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AE9F7" w:themeFill="text2" w:themeFillTint="1A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4AF63346" w14:textId="77777777" w:rsidR="00F25855" w:rsidRPr="001C3AE0" w:rsidRDefault="00000000">
            <w:pPr>
              <w:spacing w:line="200" w:lineRule="auto"/>
            </w:pPr>
            <w:r w:rsidRPr="001C3AE0">
              <w:rPr>
                <w:b/>
                <w:bCs/>
                <w:sz w:val="14"/>
                <w:szCs w:val="14"/>
              </w:rPr>
              <w:t>Principios</w:t>
            </w:r>
          </w:p>
        </w:tc>
        <w:tc>
          <w:tcPr>
            <w:tcW w:w="3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4AF63347" w14:textId="77777777" w:rsidR="00F25855" w:rsidRPr="001C3AE0" w:rsidRDefault="00000000">
            <w:pPr>
              <w:spacing w:line="200" w:lineRule="auto"/>
            </w:pPr>
            <w:r w:rsidRPr="001C3AE0">
              <w:rPr>
                <w:sz w:val="14"/>
                <w:szCs w:val="14"/>
              </w:rPr>
              <w:t>Seis principios: valor para las partes interesadas, enfoque holístico, sistema dinámico, gobierno distinto de gestión, adaptado a la empresa, extremo a extremo.</w:t>
            </w:r>
          </w:p>
        </w:tc>
        <w:tc>
          <w:tcPr>
            <w:tcW w:w="3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4AF63348" w14:textId="77777777" w:rsidR="00F25855" w:rsidRPr="001C3AE0" w:rsidRDefault="00000000">
            <w:pPr>
              <w:spacing w:line="200" w:lineRule="auto"/>
            </w:pPr>
            <w:r w:rsidRPr="001C3AE0">
              <w:rPr>
                <w:sz w:val="14"/>
                <w:szCs w:val="14"/>
              </w:rPr>
              <w:t>Siete principios guía: enfoque en el valor, empezar donde se está, avance iterativo, colaboración y visibilidad, visión holística, simplicidad, optimizar y automatizar.</w:t>
            </w:r>
          </w:p>
        </w:tc>
        <w:tc>
          <w:tcPr>
            <w:tcW w:w="3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4AF63349" w14:textId="77777777" w:rsidR="00F25855" w:rsidRPr="001C3AE0" w:rsidRDefault="00000000">
            <w:pPr>
              <w:spacing w:line="200" w:lineRule="auto"/>
            </w:pPr>
            <w:r w:rsidRPr="001C3AE0">
              <w:rPr>
                <w:sz w:val="14"/>
                <w:szCs w:val="14"/>
              </w:rPr>
              <w:t>Siete atributos de la IA confiable: válida y fiable, segura, resiliente, responsable y transparente, explicable, con privacidad, justa.</w:t>
            </w:r>
          </w:p>
        </w:tc>
        <w:tc>
          <w:tcPr>
            <w:tcW w:w="3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4AF6334A" w14:textId="77777777" w:rsidR="00F25855" w:rsidRPr="001C3AE0" w:rsidRDefault="00000000">
            <w:pPr>
              <w:spacing w:line="200" w:lineRule="auto"/>
            </w:pPr>
            <w:r w:rsidRPr="001C3AE0">
              <w:rPr>
                <w:sz w:val="14"/>
                <w:szCs w:val="14"/>
              </w:rPr>
              <w:t>Diez principios del MRAE: excelencia en los servicios, valor público, información como activo estratégico, racionalización, estandarización, interoperabilidad, seguridad digital.</w:t>
            </w:r>
          </w:p>
        </w:tc>
      </w:tr>
      <w:tr w:rsidR="00F25855" w:rsidRPr="001C3AE0" w14:paraId="4AF63351" w14:textId="77777777" w:rsidTr="00B3191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AE9F7" w:themeFill="text2" w:themeFillTint="1A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4AF6334C" w14:textId="77777777" w:rsidR="00F25855" w:rsidRPr="001C3AE0" w:rsidRDefault="00000000">
            <w:pPr>
              <w:spacing w:line="200" w:lineRule="auto"/>
            </w:pPr>
            <w:r w:rsidRPr="001C3AE0">
              <w:rPr>
                <w:b/>
                <w:bCs/>
                <w:sz w:val="14"/>
                <w:szCs w:val="14"/>
              </w:rPr>
              <w:t>Mecanismos de control</w:t>
            </w:r>
          </w:p>
        </w:tc>
        <w:tc>
          <w:tcPr>
            <w:tcW w:w="3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4AF6334D" w14:textId="77777777" w:rsidR="00F25855" w:rsidRPr="001C3AE0" w:rsidRDefault="00000000">
            <w:pPr>
              <w:spacing w:line="200" w:lineRule="auto"/>
            </w:pPr>
            <w:r w:rsidRPr="001C3AE0">
              <w:rPr>
                <w:sz w:val="14"/>
                <w:szCs w:val="14"/>
              </w:rPr>
              <w:t>Objetivos EDM, prácticas por objetivo, cascada de metas, niveles de capacidad (0 a 5) y dominio MEA (monitoreo, control interno, cumplimiento).</w:t>
            </w:r>
          </w:p>
        </w:tc>
        <w:tc>
          <w:tcPr>
            <w:tcW w:w="3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4AF6334E" w14:textId="77777777" w:rsidR="00F25855" w:rsidRPr="001C3AE0" w:rsidRDefault="00000000">
            <w:pPr>
              <w:spacing w:line="200" w:lineRule="auto"/>
            </w:pPr>
            <w:r w:rsidRPr="001C3AE0">
              <w:rPr>
                <w:sz w:val="14"/>
                <w:szCs w:val="14"/>
              </w:rPr>
              <w:t>Prácticas de control del servicio (gestión de cambios, niveles de servicio, proveedores, mejora continua): controles operativos, no de gobierno.</w:t>
            </w:r>
          </w:p>
        </w:tc>
        <w:tc>
          <w:tcPr>
            <w:tcW w:w="3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4AF6334F" w14:textId="77777777" w:rsidR="00F25855" w:rsidRPr="001C3AE0" w:rsidRDefault="00000000">
            <w:pPr>
              <w:spacing w:line="200" w:lineRule="auto"/>
            </w:pPr>
            <w:r w:rsidRPr="001C3AE0">
              <w:rPr>
                <w:sz w:val="14"/>
                <w:szCs w:val="14"/>
              </w:rPr>
              <w:t>Función Gobernar (políticas, roles, rendición de cuentas) y métricas de la función Medir; sin niveles de capacidad ni esquema de auditoría formal.</w:t>
            </w:r>
          </w:p>
        </w:tc>
        <w:tc>
          <w:tcPr>
            <w:tcW w:w="3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4AF63350" w14:textId="77777777" w:rsidR="00F25855" w:rsidRPr="001C3AE0" w:rsidRDefault="00000000">
            <w:pPr>
              <w:spacing w:line="200" w:lineRule="auto"/>
            </w:pPr>
            <w:r w:rsidRPr="001C3AE0">
              <w:rPr>
                <w:sz w:val="14"/>
                <w:szCs w:val="14"/>
              </w:rPr>
              <w:t>Lineamientos con evidencias verificables, esquema de gobierno de TI (LI.GO.01), no conformidades y evaluación del desempeño de la gestión de TI.</w:t>
            </w:r>
          </w:p>
        </w:tc>
      </w:tr>
      <w:tr w:rsidR="00F25855" w:rsidRPr="001C3AE0" w14:paraId="4AF63357" w14:textId="77777777" w:rsidTr="00B3191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AE9F7" w:themeFill="text2" w:themeFillTint="1A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4AF63352" w14:textId="77777777" w:rsidR="00F25855" w:rsidRPr="001C3AE0" w:rsidRDefault="00000000">
            <w:pPr>
              <w:spacing w:line="200" w:lineRule="auto"/>
            </w:pPr>
            <w:r w:rsidRPr="001C3AE0">
              <w:rPr>
                <w:b/>
                <w:bCs/>
                <w:sz w:val="14"/>
                <w:szCs w:val="14"/>
              </w:rPr>
              <w:t>Gestión de servicios</w:t>
            </w:r>
          </w:p>
        </w:tc>
        <w:tc>
          <w:tcPr>
            <w:tcW w:w="3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4AF63353" w14:textId="77777777" w:rsidR="00F25855" w:rsidRPr="001C3AE0" w:rsidRDefault="00000000">
            <w:pPr>
              <w:spacing w:line="200" w:lineRule="auto"/>
            </w:pPr>
            <w:r w:rsidRPr="001C3AE0">
              <w:rPr>
                <w:sz w:val="14"/>
                <w:szCs w:val="14"/>
              </w:rPr>
              <w:t>Cubierta a nivel de objetivos (APO09 acuerdos de servicio, DSS01 a DSS06) pero sin guía operativa detallada; remite a ITIL.</w:t>
            </w:r>
          </w:p>
        </w:tc>
        <w:tc>
          <w:tcPr>
            <w:tcW w:w="3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4AF63354" w14:textId="77777777" w:rsidR="00F25855" w:rsidRPr="001C3AE0" w:rsidRDefault="00000000">
            <w:pPr>
              <w:spacing w:line="200" w:lineRule="auto"/>
            </w:pPr>
            <w:r w:rsidRPr="001C3AE0">
              <w:rPr>
                <w:sz w:val="14"/>
                <w:szCs w:val="14"/>
              </w:rPr>
              <w:t>Es su núcleo: cadena de valor y prácticas de gestión del servicio (incidentes, problemas, cambios, niveles de servicio, catálogo, proveedores).</w:t>
            </w:r>
          </w:p>
        </w:tc>
        <w:tc>
          <w:tcPr>
            <w:tcW w:w="3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4AF63355" w14:textId="77777777" w:rsidR="00F25855" w:rsidRPr="001C3AE0" w:rsidRDefault="00000000">
            <w:pPr>
              <w:spacing w:line="200" w:lineRule="auto"/>
            </w:pPr>
            <w:r w:rsidRPr="001C3AE0">
              <w:rPr>
                <w:sz w:val="14"/>
                <w:szCs w:val="14"/>
              </w:rPr>
              <w:t>No la aborda.</w:t>
            </w:r>
          </w:p>
        </w:tc>
        <w:tc>
          <w:tcPr>
            <w:tcW w:w="3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4AF63356" w14:textId="77777777" w:rsidR="00F25855" w:rsidRPr="001C3AE0" w:rsidRDefault="00000000">
            <w:pPr>
              <w:spacing w:line="200" w:lineRule="auto"/>
            </w:pPr>
            <w:r w:rsidRPr="001C3AE0">
              <w:rPr>
                <w:sz w:val="14"/>
                <w:szCs w:val="14"/>
              </w:rPr>
              <w:t>Dominio de Servicios de TI (catálogo, acuerdos de nivel de servicio, mesa de servicio, continuidad), menos detallado que ITIL 4.</w:t>
            </w:r>
          </w:p>
        </w:tc>
      </w:tr>
      <w:tr w:rsidR="00F25855" w:rsidRPr="001C3AE0" w14:paraId="4AF6335D" w14:textId="77777777" w:rsidTr="00B3191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AE9F7" w:themeFill="text2" w:themeFillTint="1A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4AF63358" w14:textId="77777777" w:rsidR="00F25855" w:rsidRPr="001C3AE0" w:rsidRDefault="00000000">
            <w:pPr>
              <w:spacing w:line="200" w:lineRule="auto"/>
            </w:pPr>
            <w:r w:rsidRPr="001C3AE0">
              <w:rPr>
                <w:b/>
                <w:bCs/>
                <w:sz w:val="14"/>
                <w:szCs w:val="14"/>
              </w:rPr>
              <w:t>Tratamiento de riesgos</w:t>
            </w:r>
          </w:p>
        </w:tc>
        <w:tc>
          <w:tcPr>
            <w:tcW w:w="3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4AF63359" w14:textId="77777777" w:rsidR="00F25855" w:rsidRPr="001C3AE0" w:rsidRDefault="00000000">
            <w:pPr>
              <w:spacing w:line="200" w:lineRule="auto"/>
            </w:pPr>
            <w:r w:rsidRPr="001C3AE0">
              <w:rPr>
                <w:sz w:val="14"/>
                <w:szCs w:val="14"/>
              </w:rPr>
              <w:t>EDM03 (optimización del riesgo) y APO12 (gestión del riesgo), compatibles con ISO 31000; riesgo de TI integrado al riesgo empresarial.</w:t>
            </w:r>
          </w:p>
        </w:tc>
        <w:tc>
          <w:tcPr>
            <w:tcW w:w="3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4AF6335A" w14:textId="77777777" w:rsidR="00F25855" w:rsidRPr="001C3AE0" w:rsidRDefault="00000000">
            <w:pPr>
              <w:spacing w:line="200" w:lineRule="auto"/>
            </w:pPr>
            <w:r w:rsidRPr="001C3AE0">
              <w:rPr>
                <w:sz w:val="14"/>
                <w:szCs w:val="14"/>
              </w:rPr>
              <w:t>El riesgo se trata dentro de cada práctica; no hay un proceso propio de gobierno del riesgo.</w:t>
            </w:r>
          </w:p>
        </w:tc>
        <w:tc>
          <w:tcPr>
            <w:tcW w:w="3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4AF6335B" w14:textId="77777777" w:rsidR="00F25855" w:rsidRPr="001C3AE0" w:rsidRDefault="00000000">
            <w:pPr>
              <w:spacing w:line="200" w:lineRule="auto"/>
            </w:pPr>
            <w:r w:rsidRPr="001C3AE0">
              <w:rPr>
                <w:sz w:val="14"/>
                <w:szCs w:val="14"/>
              </w:rPr>
              <w:t>Es su núcleo: identificación, medición y gestión de riesgos de IA (sesgo, opacidad, seguridad, privacidad) en todo el ciclo de vida.</w:t>
            </w:r>
          </w:p>
        </w:tc>
        <w:tc>
          <w:tcPr>
            <w:tcW w:w="3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4AF6335C" w14:textId="77777777" w:rsidR="00F25855" w:rsidRPr="001C3AE0" w:rsidRDefault="00000000">
            <w:pPr>
              <w:spacing w:line="200" w:lineRule="auto"/>
            </w:pPr>
            <w:r w:rsidRPr="001C3AE0">
              <w:rPr>
                <w:sz w:val="14"/>
                <w:szCs w:val="14"/>
              </w:rPr>
              <w:t>Riesgos de TI y de seguridad digital (MSPI) como lineamientos, articulados con MIPG.</w:t>
            </w:r>
          </w:p>
        </w:tc>
      </w:tr>
      <w:tr w:rsidR="00F25855" w:rsidRPr="001C3AE0" w14:paraId="4AF63363" w14:textId="77777777" w:rsidTr="00B3191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AE9F7" w:themeFill="text2" w:themeFillTint="1A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4AF6335E" w14:textId="77777777" w:rsidR="00F25855" w:rsidRPr="001C3AE0" w:rsidRDefault="00000000">
            <w:pPr>
              <w:spacing w:line="200" w:lineRule="auto"/>
            </w:pPr>
            <w:r w:rsidRPr="001C3AE0">
              <w:rPr>
                <w:b/>
                <w:bCs/>
                <w:sz w:val="14"/>
                <w:szCs w:val="14"/>
              </w:rPr>
              <w:t>Complejidad de implementación</w:t>
            </w:r>
          </w:p>
        </w:tc>
        <w:tc>
          <w:tcPr>
            <w:tcW w:w="3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4AF6335F" w14:textId="77777777" w:rsidR="00F25855" w:rsidRPr="001C3AE0" w:rsidRDefault="00000000">
            <w:pPr>
              <w:spacing w:line="200" w:lineRule="auto"/>
            </w:pPr>
            <w:r w:rsidRPr="001C3AE0">
              <w:rPr>
                <w:sz w:val="14"/>
                <w:szCs w:val="14"/>
              </w:rPr>
              <w:t>Alta: exige factores de diseño, personal formado y compromiso de la alta dirección; se implanta por objetivos priorizados.</w:t>
            </w:r>
          </w:p>
        </w:tc>
        <w:tc>
          <w:tcPr>
            <w:tcW w:w="3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4AF63360" w14:textId="77777777" w:rsidR="00F25855" w:rsidRPr="001C3AE0" w:rsidRDefault="00000000">
            <w:pPr>
              <w:spacing w:line="200" w:lineRule="auto"/>
            </w:pPr>
            <w:r w:rsidRPr="001C3AE0">
              <w:rPr>
                <w:sz w:val="14"/>
                <w:szCs w:val="14"/>
              </w:rPr>
              <w:t>Media: adopción incremental por prácticas; requiere formación y cultura de servicio.</w:t>
            </w:r>
          </w:p>
        </w:tc>
        <w:tc>
          <w:tcPr>
            <w:tcW w:w="3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4AF63361" w14:textId="77777777" w:rsidR="00F25855" w:rsidRPr="001C3AE0" w:rsidRDefault="00000000">
            <w:pPr>
              <w:spacing w:line="200" w:lineRule="auto"/>
            </w:pPr>
            <w:r w:rsidRPr="001C3AE0">
              <w:rPr>
                <w:sz w:val="14"/>
                <w:szCs w:val="14"/>
              </w:rPr>
              <w:t>Baja a media: guía flexible y gratuita con manual de uso; requiere definir el perfil del caso de uso.</w:t>
            </w:r>
          </w:p>
        </w:tc>
        <w:tc>
          <w:tcPr>
            <w:tcW w:w="3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4AF63362" w14:textId="77777777" w:rsidR="00F25855" w:rsidRPr="001C3AE0" w:rsidRDefault="00000000">
            <w:pPr>
              <w:spacing w:line="200" w:lineRule="auto"/>
            </w:pPr>
            <w:r w:rsidRPr="001C3AE0">
              <w:rPr>
                <w:sz w:val="14"/>
                <w:szCs w:val="14"/>
              </w:rPr>
              <w:t>Media: guías y plantillas gratuitas en español; exige documentación extensa de evidencias.</w:t>
            </w:r>
          </w:p>
        </w:tc>
      </w:tr>
    </w:tbl>
    <w:p w14:paraId="549DB5AD" w14:textId="77777777" w:rsidR="0031368E" w:rsidRDefault="0031368E">
      <w:pPr>
        <w:spacing w:before="40" w:after="15"/>
        <w:rPr>
          <w:b/>
          <w:bCs/>
          <w:sz w:val="17"/>
          <w:szCs w:val="17"/>
        </w:rPr>
      </w:pPr>
    </w:p>
    <w:p w14:paraId="4AF63364" w14:textId="507C88EC" w:rsidR="00F25855" w:rsidRPr="001C3AE0" w:rsidRDefault="00000000">
      <w:pPr>
        <w:spacing w:before="40" w:after="15"/>
      </w:pPr>
      <w:r w:rsidRPr="001C3AE0">
        <w:rPr>
          <w:b/>
          <w:bCs/>
          <w:sz w:val="17"/>
          <w:szCs w:val="17"/>
        </w:rPr>
        <w:t>2. Criterios de selección y evaluación (escala 1 a 5; puntaje ponderado = suma de peso por puntaje)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50"/>
        <w:gridCol w:w="550"/>
        <w:gridCol w:w="3000"/>
        <w:gridCol w:w="3000"/>
        <w:gridCol w:w="3000"/>
        <w:gridCol w:w="3000"/>
      </w:tblGrid>
      <w:tr w:rsidR="00F25855" w:rsidRPr="001C3AE0" w14:paraId="4AF6336B" w14:textId="77777777" w:rsidTr="00B3191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A5C9EB" w:themeFill="text2" w:themeFillTint="40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4AF63365" w14:textId="77777777" w:rsidR="00F25855" w:rsidRPr="001C3AE0" w:rsidRDefault="00000000">
            <w:pPr>
              <w:spacing w:line="200" w:lineRule="auto"/>
              <w:jc w:val="center"/>
            </w:pPr>
            <w:r w:rsidRPr="001C3AE0">
              <w:rPr>
                <w:b/>
                <w:bCs/>
                <w:sz w:val="14"/>
                <w:szCs w:val="14"/>
              </w:rPr>
              <w:t>Criterio de selección</w:t>
            </w:r>
          </w:p>
        </w:tc>
        <w:tc>
          <w:tcPr>
            <w:tcW w:w="5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A5C9EB" w:themeFill="text2" w:themeFillTint="40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4AF63366" w14:textId="77777777" w:rsidR="00F25855" w:rsidRPr="001C3AE0" w:rsidRDefault="00000000">
            <w:pPr>
              <w:spacing w:line="200" w:lineRule="auto"/>
              <w:jc w:val="center"/>
            </w:pPr>
            <w:r w:rsidRPr="001C3AE0">
              <w:rPr>
                <w:b/>
                <w:bCs/>
                <w:sz w:val="14"/>
                <w:szCs w:val="14"/>
              </w:rPr>
              <w:t>Peso</w:t>
            </w:r>
          </w:p>
        </w:tc>
        <w:tc>
          <w:tcPr>
            <w:tcW w:w="3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A5C9EB" w:themeFill="text2" w:themeFillTint="40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4AF63367" w14:textId="77777777" w:rsidR="00F25855" w:rsidRPr="001C3AE0" w:rsidRDefault="00000000">
            <w:pPr>
              <w:spacing w:line="200" w:lineRule="auto"/>
              <w:jc w:val="center"/>
            </w:pPr>
            <w:r w:rsidRPr="001C3AE0">
              <w:rPr>
                <w:b/>
                <w:bCs/>
                <w:sz w:val="14"/>
                <w:szCs w:val="14"/>
              </w:rPr>
              <w:t>COBIT 2019</w:t>
            </w:r>
          </w:p>
        </w:tc>
        <w:tc>
          <w:tcPr>
            <w:tcW w:w="3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A5C9EB" w:themeFill="text2" w:themeFillTint="40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4AF63368" w14:textId="77777777" w:rsidR="00F25855" w:rsidRPr="001C3AE0" w:rsidRDefault="00000000">
            <w:pPr>
              <w:spacing w:line="200" w:lineRule="auto"/>
              <w:jc w:val="center"/>
            </w:pPr>
            <w:r w:rsidRPr="001C3AE0">
              <w:rPr>
                <w:b/>
                <w:bCs/>
                <w:sz w:val="14"/>
                <w:szCs w:val="14"/>
              </w:rPr>
              <w:t>ITIL 4</w:t>
            </w:r>
          </w:p>
        </w:tc>
        <w:tc>
          <w:tcPr>
            <w:tcW w:w="3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A5C9EB" w:themeFill="text2" w:themeFillTint="40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4AF63369" w14:textId="77777777" w:rsidR="00F25855" w:rsidRPr="001C3AE0" w:rsidRDefault="00000000">
            <w:pPr>
              <w:spacing w:line="200" w:lineRule="auto"/>
              <w:jc w:val="center"/>
            </w:pPr>
            <w:r w:rsidRPr="001C3AE0">
              <w:rPr>
                <w:b/>
                <w:bCs/>
                <w:sz w:val="14"/>
                <w:szCs w:val="14"/>
              </w:rPr>
              <w:t>NIST AI RMF 1.0</w:t>
            </w:r>
          </w:p>
        </w:tc>
        <w:tc>
          <w:tcPr>
            <w:tcW w:w="3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A5C9EB" w:themeFill="text2" w:themeFillTint="40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4AF6336A" w14:textId="77777777" w:rsidR="00F25855" w:rsidRPr="001C3AE0" w:rsidRDefault="00000000">
            <w:pPr>
              <w:spacing w:line="200" w:lineRule="auto"/>
              <w:jc w:val="center"/>
            </w:pPr>
            <w:r w:rsidRPr="001C3AE0">
              <w:rPr>
                <w:b/>
                <w:bCs/>
                <w:sz w:val="14"/>
                <w:szCs w:val="14"/>
              </w:rPr>
              <w:t>MGGTI (MinTIC)</w:t>
            </w:r>
          </w:p>
        </w:tc>
      </w:tr>
      <w:tr w:rsidR="00F25855" w:rsidRPr="001C3AE0" w14:paraId="4AF63372" w14:textId="77777777" w:rsidTr="00B3191F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AE9F7" w:themeFill="text2" w:themeFillTint="1A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4AF6336C" w14:textId="77777777" w:rsidR="00F25855" w:rsidRPr="001C3AE0" w:rsidRDefault="00000000">
            <w:pPr>
              <w:spacing w:line="200" w:lineRule="auto"/>
            </w:pPr>
            <w:r w:rsidRPr="001C3AE0">
              <w:rPr>
                <w:b/>
                <w:bCs/>
                <w:sz w:val="14"/>
                <w:szCs w:val="14"/>
              </w:rPr>
              <w:t>Pertinencia para la organización</w:t>
            </w:r>
          </w:p>
        </w:tc>
        <w:tc>
          <w:tcPr>
            <w:tcW w:w="5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AE9F7" w:themeFill="text2" w:themeFillTint="1A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4AF6336D" w14:textId="77777777" w:rsidR="00F25855" w:rsidRPr="001C3AE0" w:rsidRDefault="00000000">
            <w:pPr>
              <w:spacing w:line="200" w:lineRule="auto"/>
              <w:jc w:val="center"/>
            </w:pPr>
            <w:r w:rsidRPr="001C3AE0">
              <w:rPr>
                <w:b/>
                <w:bCs/>
                <w:sz w:val="14"/>
                <w:szCs w:val="14"/>
              </w:rPr>
              <w:t>25 %</w:t>
            </w:r>
          </w:p>
        </w:tc>
        <w:tc>
          <w:tcPr>
            <w:tcW w:w="3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4AF6336E" w14:textId="77777777" w:rsidR="00F25855" w:rsidRPr="001C3AE0" w:rsidRDefault="00000000">
            <w:pPr>
              <w:spacing w:line="200" w:lineRule="auto"/>
            </w:pPr>
            <w:proofErr w:type="gramStart"/>
            <w:r w:rsidRPr="001C3AE0">
              <w:rPr>
                <w:b/>
                <w:bCs/>
                <w:sz w:val="14"/>
                <w:szCs w:val="14"/>
              </w:rPr>
              <w:t xml:space="preserve">5  </w:t>
            </w:r>
            <w:r w:rsidRPr="001C3AE0">
              <w:rPr>
                <w:sz w:val="14"/>
                <w:szCs w:val="14"/>
              </w:rPr>
              <w:t>Integra</w:t>
            </w:r>
            <w:proofErr w:type="gramEnd"/>
            <w:r w:rsidRPr="001C3AE0">
              <w:rPr>
                <w:sz w:val="14"/>
                <w:szCs w:val="14"/>
              </w:rPr>
              <w:t xml:space="preserve"> gobierno y gestión; responde a la pregunta central (estructuras de decisión, políticas, control).</w:t>
            </w:r>
          </w:p>
        </w:tc>
        <w:tc>
          <w:tcPr>
            <w:tcW w:w="3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4AF6336F" w14:textId="77777777" w:rsidR="00F25855" w:rsidRPr="001C3AE0" w:rsidRDefault="00000000">
            <w:pPr>
              <w:spacing w:line="200" w:lineRule="auto"/>
            </w:pPr>
            <w:proofErr w:type="gramStart"/>
            <w:r w:rsidRPr="001C3AE0">
              <w:rPr>
                <w:b/>
                <w:bCs/>
                <w:sz w:val="14"/>
                <w:szCs w:val="14"/>
              </w:rPr>
              <w:t xml:space="preserve">3  </w:t>
            </w:r>
            <w:r w:rsidRPr="001C3AE0">
              <w:rPr>
                <w:sz w:val="14"/>
                <w:szCs w:val="14"/>
              </w:rPr>
              <w:t>Pertinente</w:t>
            </w:r>
            <w:proofErr w:type="gramEnd"/>
            <w:r w:rsidRPr="001C3AE0">
              <w:rPr>
                <w:sz w:val="14"/>
                <w:szCs w:val="14"/>
              </w:rPr>
              <w:t xml:space="preserve"> para la operación tercerizada de cuentas médicas, no para el problema de gobierno.</w:t>
            </w:r>
          </w:p>
        </w:tc>
        <w:tc>
          <w:tcPr>
            <w:tcW w:w="3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4AF63370" w14:textId="77777777" w:rsidR="00F25855" w:rsidRPr="001C3AE0" w:rsidRDefault="00000000">
            <w:pPr>
              <w:spacing w:line="200" w:lineRule="auto"/>
            </w:pPr>
            <w:proofErr w:type="gramStart"/>
            <w:r w:rsidRPr="001C3AE0">
              <w:rPr>
                <w:b/>
                <w:bCs/>
                <w:sz w:val="14"/>
                <w:szCs w:val="14"/>
              </w:rPr>
              <w:t xml:space="preserve">2  </w:t>
            </w:r>
            <w:r w:rsidRPr="001C3AE0">
              <w:rPr>
                <w:sz w:val="14"/>
                <w:szCs w:val="14"/>
              </w:rPr>
              <w:t>Pertinente</w:t>
            </w:r>
            <w:proofErr w:type="gramEnd"/>
            <w:r w:rsidRPr="001C3AE0">
              <w:rPr>
                <w:sz w:val="14"/>
                <w:szCs w:val="14"/>
              </w:rPr>
              <w:t xml:space="preserve"> sólo para el componente analítico de priorización que el proyecto introduce.</w:t>
            </w:r>
          </w:p>
        </w:tc>
        <w:tc>
          <w:tcPr>
            <w:tcW w:w="3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4AF63371" w14:textId="77777777" w:rsidR="00F25855" w:rsidRPr="001C3AE0" w:rsidRDefault="00000000">
            <w:pPr>
              <w:spacing w:line="200" w:lineRule="auto"/>
            </w:pPr>
            <w:proofErr w:type="gramStart"/>
            <w:r w:rsidRPr="001C3AE0">
              <w:rPr>
                <w:b/>
                <w:bCs/>
                <w:sz w:val="14"/>
                <w:szCs w:val="14"/>
              </w:rPr>
              <w:t xml:space="preserve">4  </w:t>
            </w:r>
            <w:r w:rsidRPr="001C3AE0">
              <w:rPr>
                <w:sz w:val="14"/>
                <w:szCs w:val="14"/>
              </w:rPr>
              <w:t>Entidad</w:t>
            </w:r>
            <w:proofErr w:type="gramEnd"/>
            <w:r w:rsidRPr="001C3AE0">
              <w:rPr>
                <w:sz w:val="14"/>
                <w:szCs w:val="14"/>
              </w:rPr>
              <w:t xml:space="preserve"> de control estatal en intervención; sus dominios de estrategia y gobierno encajan con B4.</w:t>
            </w:r>
          </w:p>
        </w:tc>
      </w:tr>
      <w:tr w:rsidR="00F25855" w:rsidRPr="001C3AE0" w14:paraId="4AF63379" w14:textId="77777777" w:rsidTr="00B3191F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AE9F7" w:themeFill="text2" w:themeFillTint="1A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4AF63373" w14:textId="77777777" w:rsidR="00F25855" w:rsidRPr="001C3AE0" w:rsidRDefault="00000000">
            <w:pPr>
              <w:spacing w:line="200" w:lineRule="auto"/>
            </w:pPr>
            <w:r w:rsidRPr="001C3AE0">
              <w:rPr>
                <w:b/>
                <w:bCs/>
                <w:sz w:val="14"/>
                <w:szCs w:val="14"/>
              </w:rPr>
              <w:t>Cobertura de las brechas B1 a B5</w:t>
            </w:r>
          </w:p>
        </w:tc>
        <w:tc>
          <w:tcPr>
            <w:tcW w:w="5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AE9F7" w:themeFill="text2" w:themeFillTint="1A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4AF63374" w14:textId="77777777" w:rsidR="00F25855" w:rsidRPr="001C3AE0" w:rsidRDefault="00000000">
            <w:pPr>
              <w:spacing w:line="200" w:lineRule="auto"/>
              <w:jc w:val="center"/>
            </w:pPr>
            <w:r w:rsidRPr="001C3AE0">
              <w:rPr>
                <w:b/>
                <w:bCs/>
                <w:sz w:val="14"/>
                <w:szCs w:val="14"/>
              </w:rPr>
              <w:t>25 %</w:t>
            </w:r>
          </w:p>
        </w:tc>
        <w:tc>
          <w:tcPr>
            <w:tcW w:w="3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4AF63375" w14:textId="77777777" w:rsidR="00F25855" w:rsidRPr="001C3AE0" w:rsidRDefault="00000000">
            <w:pPr>
              <w:spacing w:line="200" w:lineRule="auto"/>
            </w:pPr>
            <w:proofErr w:type="gramStart"/>
            <w:r w:rsidRPr="001C3AE0">
              <w:rPr>
                <w:b/>
                <w:bCs/>
                <w:sz w:val="14"/>
                <w:szCs w:val="14"/>
              </w:rPr>
              <w:t xml:space="preserve">5  </w:t>
            </w:r>
            <w:r w:rsidRPr="001C3AE0">
              <w:rPr>
                <w:sz w:val="14"/>
                <w:szCs w:val="14"/>
              </w:rPr>
              <w:t>B</w:t>
            </w:r>
            <w:proofErr w:type="gramEnd"/>
            <w:r w:rsidRPr="001C3AE0">
              <w:rPr>
                <w:sz w:val="14"/>
                <w:szCs w:val="14"/>
              </w:rPr>
              <w:t>1 a B5: EDM01 a EDM03, APO01, APO05, APO10, APO12, APO14, BAI06, DSS06 y MEA03.</w:t>
            </w:r>
          </w:p>
        </w:tc>
        <w:tc>
          <w:tcPr>
            <w:tcW w:w="3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4AF63376" w14:textId="77777777" w:rsidR="00F25855" w:rsidRPr="001C3AE0" w:rsidRDefault="00000000">
            <w:pPr>
              <w:spacing w:line="200" w:lineRule="auto"/>
            </w:pPr>
            <w:proofErr w:type="gramStart"/>
            <w:r w:rsidRPr="001C3AE0">
              <w:rPr>
                <w:b/>
                <w:bCs/>
                <w:sz w:val="14"/>
                <w:szCs w:val="14"/>
              </w:rPr>
              <w:t xml:space="preserve">3  </w:t>
            </w:r>
            <w:r w:rsidRPr="001C3AE0">
              <w:rPr>
                <w:sz w:val="14"/>
                <w:szCs w:val="14"/>
              </w:rPr>
              <w:t>B</w:t>
            </w:r>
            <w:proofErr w:type="gramEnd"/>
            <w:r w:rsidRPr="001C3AE0">
              <w:rPr>
                <w:sz w:val="14"/>
                <w:szCs w:val="14"/>
              </w:rPr>
              <w:t>1 parcial, B3 y B5: gestión de cambios, de proveedores y de niveles de servicio (H2, H5).</w:t>
            </w:r>
          </w:p>
        </w:tc>
        <w:tc>
          <w:tcPr>
            <w:tcW w:w="3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4AF63377" w14:textId="77777777" w:rsidR="00F25855" w:rsidRPr="001C3AE0" w:rsidRDefault="00000000">
            <w:pPr>
              <w:spacing w:line="200" w:lineRule="auto"/>
            </w:pPr>
            <w:proofErr w:type="gramStart"/>
            <w:r w:rsidRPr="001C3AE0">
              <w:rPr>
                <w:b/>
                <w:bCs/>
                <w:sz w:val="14"/>
                <w:szCs w:val="14"/>
              </w:rPr>
              <w:t xml:space="preserve">2  </w:t>
            </w:r>
            <w:r w:rsidRPr="001C3AE0">
              <w:rPr>
                <w:sz w:val="14"/>
                <w:szCs w:val="14"/>
              </w:rPr>
              <w:t>B</w:t>
            </w:r>
            <w:proofErr w:type="gramEnd"/>
            <w:r w:rsidRPr="001C3AE0">
              <w:rPr>
                <w:sz w:val="14"/>
                <w:szCs w:val="14"/>
              </w:rPr>
              <w:t>5 (H7): gobierno del riesgo del modelo de priorización; nada sobre B1 a B4.</w:t>
            </w:r>
          </w:p>
        </w:tc>
        <w:tc>
          <w:tcPr>
            <w:tcW w:w="3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4AF63378" w14:textId="77777777" w:rsidR="00F25855" w:rsidRPr="001C3AE0" w:rsidRDefault="00000000">
            <w:pPr>
              <w:spacing w:line="200" w:lineRule="auto"/>
            </w:pPr>
            <w:proofErr w:type="gramStart"/>
            <w:r w:rsidRPr="001C3AE0">
              <w:rPr>
                <w:b/>
                <w:bCs/>
                <w:sz w:val="14"/>
                <w:szCs w:val="14"/>
              </w:rPr>
              <w:t xml:space="preserve">4  </w:t>
            </w:r>
            <w:r w:rsidRPr="001C3AE0">
              <w:rPr>
                <w:sz w:val="14"/>
                <w:szCs w:val="14"/>
              </w:rPr>
              <w:t>B</w:t>
            </w:r>
            <w:proofErr w:type="gramEnd"/>
            <w:r w:rsidRPr="001C3AE0">
              <w:rPr>
                <w:sz w:val="14"/>
                <w:szCs w:val="14"/>
              </w:rPr>
              <w:t>2, B4 y B1 parcial: gestión de información, esquema de gobierno, estrategia de TI; débil en B3.</w:t>
            </w:r>
          </w:p>
        </w:tc>
      </w:tr>
      <w:tr w:rsidR="00F25855" w:rsidRPr="001C3AE0" w14:paraId="4AF63380" w14:textId="77777777" w:rsidTr="00B3191F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AE9F7" w:themeFill="text2" w:themeFillTint="1A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4AF6337A" w14:textId="77777777" w:rsidR="00F25855" w:rsidRPr="001C3AE0" w:rsidRDefault="00000000">
            <w:pPr>
              <w:spacing w:line="200" w:lineRule="auto"/>
            </w:pPr>
            <w:r w:rsidRPr="001C3AE0">
              <w:rPr>
                <w:b/>
                <w:bCs/>
                <w:sz w:val="14"/>
                <w:szCs w:val="14"/>
              </w:rPr>
              <w:t>Complejidad (5 = menor complejidad)</w:t>
            </w:r>
          </w:p>
        </w:tc>
        <w:tc>
          <w:tcPr>
            <w:tcW w:w="5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AE9F7" w:themeFill="text2" w:themeFillTint="1A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4AF6337B" w14:textId="77777777" w:rsidR="00F25855" w:rsidRPr="001C3AE0" w:rsidRDefault="00000000">
            <w:pPr>
              <w:spacing w:line="200" w:lineRule="auto"/>
              <w:jc w:val="center"/>
            </w:pPr>
            <w:r w:rsidRPr="001C3AE0">
              <w:rPr>
                <w:b/>
                <w:bCs/>
                <w:sz w:val="14"/>
                <w:szCs w:val="14"/>
              </w:rPr>
              <w:t>10 %</w:t>
            </w:r>
          </w:p>
        </w:tc>
        <w:tc>
          <w:tcPr>
            <w:tcW w:w="3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4AF6337C" w14:textId="77777777" w:rsidR="00F25855" w:rsidRPr="001C3AE0" w:rsidRDefault="00000000">
            <w:pPr>
              <w:spacing w:line="200" w:lineRule="auto"/>
            </w:pPr>
            <w:proofErr w:type="gramStart"/>
            <w:r w:rsidRPr="001C3AE0">
              <w:rPr>
                <w:b/>
                <w:bCs/>
                <w:sz w:val="14"/>
                <w:szCs w:val="14"/>
              </w:rPr>
              <w:t xml:space="preserve">2  </w:t>
            </w:r>
            <w:r w:rsidRPr="001C3AE0">
              <w:rPr>
                <w:sz w:val="14"/>
                <w:szCs w:val="14"/>
              </w:rPr>
              <w:t>Alta</w:t>
            </w:r>
            <w:proofErr w:type="gramEnd"/>
            <w:r w:rsidRPr="001C3AE0">
              <w:rPr>
                <w:sz w:val="14"/>
                <w:szCs w:val="14"/>
              </w:rPr>
              <w:t>; se mitiga acotando la adopción a ocho objetivos priorizados.</w:t>
            </w:r>
          </w:p>
        </w:tc>
        <w:tc>
          <w:tcPr>
            <w:tcW w:w="3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4AF6337D" w14:textId="77777777" w:rsidR="00F25855" w:rsidRPr="001C3AE0" w:rsidRDefault="00000000">
            <w:pPr>
              <w:spacing w:line="200" w:lineRule="auto"/>
            </w:pPr>
            <w:proofErr w:type="gramStart"/>
            <w:r w:rsidRPr="001C3AE0">
              <w:rPr>
                <w:b/>
                <w:bCs/>
                <w:sz w:val="14"/>
                <w:szCs w:val="14"/>
              </w:rPr>
              <w:t xml:space="preserve">3  </w:t>
            </w:r>
            <w:r w:rsidRPr="001C3AE0">
              <w:rPr>
                <w:sz w:val="14"/>
                <w:szCs w:val="14"/>
              </w:rPr>
              <w:t>Media</w:t>
            </w:r>
            <w:proofErr w:type="gramEnd"/>
            <w:r w:rsidRPr="001C3AE0">
              <w:rPr>
                <w:sz w:val="14"/>
                <w:szCs w:val="14"/>
              </w:rPr>
              <w:t>; adopción gradual por prácticas.</w:t>
            </w:r>
          </w:p>
        </w:tc>
        <w:tc>
          <w:tcPr>
            <w:tcW w:w="3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4AF6337E" w14:textId="77777777" w:rsidR="00F25855" w:rsidRPr="001C3AE0" w:rsidRDefault="00000000">
            <w:pPr>
              <w:spacing w:line="200" w:lineRule="auto"/>
            </w:pPr>
            <w:proofErr w:type="gramStart"/>
            <w:r w:rsidRPr="001C3AE0">
              <w:rPr>
                <w:b/>
                <w:bCs/>
                <w:sz w:val="14"/>
                <w:szCs w:val="14"/>
              </w:rPr>
              <w:t xml:space="preserve">4  </w:t>
            </w:r>
            <w:r w:rsidRPr="001C3AE0">
              <w:rPr>
                <w:sz w:val="14"/>
                <w:szCs w:val="14"/>
              </w:rPr>
              <w:t>Baja</w:t>
            </w:r>
            <w:proofErr w:type="gramEnd"/>
            <w:r w:rsidRPr="001C3AE0">
              <w:rPr>
                <w:sz w:val="14"/>
                <w:szCs w:val="14"/>
              </w:rPr>
              <w:t xml:space="preserve"> a media; perfil acotado al caso de uso.</w:t>
            </w:r>
          </w:p>
        </w:tc>
        <w:tc>
          <w:tcPr>
            <w:tcW w:w="3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4AF6337F" w14:textId="77777777" w:rsidR="00F25855" w:rsidRPr="001C3AE0" w:rsidRDefault="00000000">
            <w:pPr>
              <w:spacing w:line="200" w:lineRule="auto"/>
            </w:pPr>
            <w:proofErr w:type="gramStart"/>
            <w:r w:rsidRPr="001C3AE0">
              <w:rPr>
                <w:b/>
                <w:bCs/>
                <w:sz w:val="14"/>
                <w:szCs w:val="14"/>
              </w:rPr>
              <w:t xml:space="preserve">3  </w:t>
            </w:r>
            <w:r w:rsidRPr="001C3AE0">
              <w:rPr>
                <w:sz w:val="14"/>
                <w:szCs w:val="14"/>
              </w:rPr>
              <w:t>Media</w:t>
            </w:r>
            <w:proofErr w:type="gramEnd"/>
            <w:r w:rsidRPr="001C3AE0">
              <w:rPr>
                <w:sz w:val="14"/>
                <w:szCs w:val="14"/>
              </w:rPr>
              <w:t>; carga documental de evidencias.</w:t>
            </w:r>
          </w:p>
        </w:tc>
      </w:tr>
      <w:tr w:rsidR="00F25855" w:rsidRPr="001C3AE0" w14:paraId="4AF63387" w14:textId="77777777" w:rsidTr="00B3191F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AE9F7" w:themeFill="text2" w:themeFillTint="1A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4AF63381" w14:textId="77777777" w:rsidR="00F25855" w:rsidRPr="001C3AE0" w:rsidRDefault="00000000">
            <w:pPr>
              <w:spacing w:line="200" w:lineRule="auto"/>
            </w:pPr>
            <w:r w:rsidRPr="001C3AE0">
              <w:rPr>
                <w:b/>
                <w:bCs/>
                <w:sz w:val="14"/>
                <w:szCs w:val="14"/>
              </w:rPr>
              <w:t>Recursos disponibles</w:t>
            </w:r>
          </w:p>
        </w:tc>
        <w:tc>
          <w:tcPr>
            <w:tcW w:w="5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AE9F7" w:themeFill="text2" w:themeFillTint="1A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4AF63382" w14:textId="77777777" w:rsidR="00F25855" w:rsidRPr="001C3AE0" w:rsidRDefault="00000000">
            <w:pPr>
              <w:spacing w:line="200" w:lineRule="auto"/>
              <w:jc w:val="center"/>
            </w:pPr>
            <w:r w:rsidRPr="001C3AE0">
              <w:rPr>
                <w:b/>
                <w:bCs/>
                <w:sz w:val="14"/>
                <w:szCs w:val="14"/>
              </w:rPr>
              <w:t>10 %</w:t>
            </w:r>
          </w:p>
        </w:tc>
        <w:tc>
          <w:tcPr>
            <w:tcW w:w="3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4AF63383" w14:textId="77777777" w:rsidR="00F25855" w:rsidRPr="001C3AE0" w:rsidRDefault="00000000">
            <w:pPr>
              <w:spacing w:line="200" w:lineRule="auto"/>
            </w:pPr>
            <w:proofErr w:type="gramStart"/>
            <w:r w:rsidRPr="001C3AE0">
              <w:rPr>
                <w:b/>
                <w:bCs/>
                <w:sz w:val="14"/>
                <w:szCs w:val="14"/>
              </w:rPr>
              <w:t xml:space="preserve">3  </w:t>
            </w:r>
            <w:r w:rsidRPr="001C3AE0">
              <w:rPr>
                <w:sz w:val="14"/>
                <w:szCs w:val="14"/>
              </w:rPr>
              <w:t>Material</w:t>
            </w:r>
            <w:proofErr w:type="gramEnd"/>
            <w:r w:rsidRPr="001C3AE0">
              <w:rPr>
                <w:sz w:val="14"/>
                <w:szCs w:val="14"/>
              </w:rPr>
              <w:t xml:space="preserve"> del curso y casos ISACA; requiere personal formado que la entidad no tiene.</w:t>
            </w:r>
          </w:p>
        </w:tc>
        <w:tc>
          <w:tcPr>
            <w:tcW w:w="3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4AF63384" w14:textId="77777777" w:rsidR="00F25855" w:rsidRPr="001C3AE0" w:rsidRDefault="00000000">
            <w:pPr>
              <w:spacing w:line="200" w:lineRule="auto"/>
            </w:pPr>
            <w:proofErr w:type="gramStart"/>
            <w:r w:rsidRPr="001C3AE0">
              <w:rPr>
                <w:b/>
                <w:bCs/>
                <w:sz w:val="14"/>
                <w:szCs w:val="14"/>
              </w:rPr>
              <w:t xml:space="preserve">3  </w:t>
            </w:r>
            <w:r w:rsidRPr="001C3AE0">
              <w:rPr>
                <w:sz w:val="14"/>
                <w:szCs w:val="14"/>
              </w:rPr>
              <w:t>Amplia</w:t>
            </w:r>
            <w:proofErr w:type="gramEnd"/>
            <w:r w:rsidRPr="001C3AE0">
              <w:rPr>
                <w:sz w:val="14"/>
                <w:szCs w:val="14"/>
              </w:rPr>
              <w:t xml:space="preserve"> oferta de formación; los proveedores tecnológicos ya lo aplican.</w:t>
            </w:r>
          </w:p>
        </w:tc>
        <w:tc>
          <w:tcPr>
            <w:tcW w:w="3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4AF63385" w14:textId="77777777" w:rsidR="00F25855" w:rsidRPr="001C3AE0" w:rsidRDefault="00000000">
            <w:pPr>
              <w:spacing w:line="200" w:lineRule="auto"/>
            </w:pPr>
            <w:proofErr w:type="gramStart"/>
            <w:r w:rsidRPr="001C3AE0">
              <w:rPr>
                <w:b/>
                <w:bCs/>
                <w:sz w:val="14"/>
                <w:szCs w:val="14"/>
              </w:rPr>
              <w:t xml:space="preserve">4  </w:t>
            </w:r>
            <w:r w:rsidRPr="001C3AE0">
              <w:rPr>
                <w:sz w:val="14"/>
                <w:szCs w:val="14"/>
              </w:rPr>
              <w:t>Gratuito</w:t>
            </w:r>
            <w:proofErr w:type="gramEnd"/>
            <w:r w:rsidRPr="001C3AE0">
              <w:rPr>
                <w:sz w:val="14"/>
                <w:szCs w:val="14"/>
              </w:rPr>
              <w:t>, con manual de uso y perfiles publicados.</w:t>
            </w:r>
          </w:p>
        </w:tc>
        <w:tc>
          <w:tcPr>
            <w:tcW w:w="3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4AF63386" w14:textId="77777777" w:rsidR="00F25855" w:rsidRPr="001C3AE0" w:rsidRDefault="00000000">
            <w:pPr>
              <w:spacing w:line="200" w:lineRule="auto"/>
            </w:pPr>
            <w:proofErr w:type="gramStart"/>
            <w:r w:rsidRPr="001C3AE0">
              <w:rPr>
                <w:b/>
                <w:bCs/>
                <w:sz w:val="14"/>
                <w:szCs w:val="14"/>
              </w:rPr>
              <w:t xml:space="preserve">4  </w:t>
            </w:r>
            <w:r w:rsidRPr="001C3AE0">
              <w:rPr>
                <w:sz w:val="14"/>
                <w:szCs w:val="14"/>
              </w:rPr>
              <w:t>Guías</w:t>
            </w:r>
            <w:proofErr w:type="gramEnd"/>
            <w:r w:rsidRPr="001C3AE0">
              <w:rPr>
                <w:sz w:val="14"/>
                <w:szCs w:val="14"/>
              </w:rPr>
              <w:t>, plantillas e instrumentos gratuitos de MinTIC en español.</w:t>
            </w:r>
          </w:p>
        </w:tc>
      </w:tr>
      <w:tr w:rsidR="00F25855" w:rsidRPr="001C3AE0" w14:paraId="4AF6338E" w14:textId="77777777" w:rsidTr="00B3191F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AE9F7" w:themeFill="text2" w:themeFillTint="1A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4AF63388" w14:textId="77777777" w:rsidR="00F25855" w:rsidRPr="001C3AE0" w:rsidRDefault="00000000">
            <w:pPr>
              <w:spacing w:line="200" w:lineRule="auto"/>
            </w:pPr>
            <w:r w:rsidRPr="001C3AE0">
              <w:rPr>
                <w:b/>
                <w:bCs/>
                <w:sz w:val="14"/>
                <w:szCs w:val="14"/>
              </w:rPr>
              <w:t>Alineación normativa</w:t>
            </w:r>
          </w:p>
        </w:tc>
        <w:tc>
          <w:tcPr>
            <w:tcW w:w="5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AE9F7" w:themeFill="text2" w:themeFillTint="1A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4AF63389" w14:textId="77777777" w:rsidR="00F25855" w:rsidRPr="001C3AE0" w:rsidRDefault="00000000">
            <w:pPr>
              <w:spacing w:line="200" w:lineRule="auto"/>
              <w:jc w:val="center"/>
            </w:pPr>
            <w:r w:rsidRPr="001C3AE0">
              <w:rPr>
                <w:b/>
                <w:bCs/>
                <w:sz w:val="14"/>
                <w:szCs w:val="14"/>
              </w:rPr>
              <w:t>15 %</w:t>
            </w:r>
          </w:p>
        </w:tc>
        <w:tc>
          <w:tcPr>
            <w:tcW w:w="3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4AF6338A" w14:textId="77777777" w:rsidR="00F25855" w:rsidRPr="001C3AE0" w:rsidRDefault="00000000">
            <w:pPr>
              <w:spacing w:line="200" w:lineRule="auto"/>
            </w:pPr>
            <w:proofErr w:type="gramStart"/>
            <w:r w:rsidRPr="001C3AE0">
              <w:rPr>
                <w:b/>
                <w:bCs/>
                <w:sz w:val="14"/>
                <w:szCs w:val="14"/>
              </w:rPr>
              <w:t xml:space="preserve">4  </w:t>
            </w:r>
            <w:r w:rsidRPr="001C3AE0">
              <w:rPr>
                <w:sz w:val="14"/>
                <w:szCs w:val="14"/>
              </w:rPr>
              <w:t>Referente</w:t>
            </w:r>
            <w:proofErr w:type="gramEnd"/>
            <w:r w:rsidRPr="001C3AE0">
              <w:rPr>
                <w:sz w:val="14"/>
                <w:szCs w:val="14"/>
              </w:rPr>
              <w:t xml:space="preserve"> aceptado por auditores y por la Supersalud; no es obligatorio.</w:t>
            </w:r>
          </w:p>
        </w:tc>
        <w:tc>
          <w:tcPr>
            <w:tcW w:w="3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4AF6338B" w14:textId="77777777" w:rsidR="00F25855" w:rsidRPr="001C3AE0" w:rsidRDefault="00000000">
            <w:pPr>
              <w:spacing w:line="200" w:lineRule="auto"/>
            </w:pPr>
            <w:proofErr w:type="gramStart"/>
            <w:r w:rsidRPr="001C3AE0">
              <w:rPr>
                <w:b/>
                <w:bCs/>
                <w:sz w:val="14"/>
                <w:szCs w:val="14"/>
              </w:rPr>
              <w:t xml:space="preserve">2  </w:t>
            </w:r>
            <w:r w:rsidRPr="001C3AE0">
              <w:rPr>
                <w:sz w:val="14"/>
                <w:szCs w:val="14"/>
              </w:rPr>
              <w:t>Sin</w:t>
            </w:r>
            <w:proofErr w:type="gramEnd"/>
            <w:r w:rsidRPr="001C3AE0">
              <w:rPr>
                <w:sz w:val="14"/>
                <w:szCs w:val="14"/>
              </w:rPr>
              <w:t xml:space="preserve"> exigencia normativa en Colombia.</w:t>
            </w:r>
          </w:p>
        </w:tc>
        <w:tc>
          <w:tcPr>
            <w:tcW w:w="3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4AF6338C" w14:textId="77777777" w:rsidR="00F25855" w:rsidRPr="001C3AE0" w:rsidRDefault="00000000">
            <w:pPr>
              <w:spacing w:line="200" w:lineRule="auto"/>
            </w:pPr>
            <w:proofErr w:type="gramStart"/>
            <w:r w:rsidRPr="001C3AE0">
              <w:rPr>
                <w:b/>
                <w:bCs/>
                <w:sz w:val="14"/>
                <w:szCs w:val="14"/>
              </w:rPr>
              <w:t xml:space="preserve">3  </w:t>
            </w:r>
            <w:r w:rsidRPr="001C3AE0">
              <w:rPr>
                <w:sz w:val="14"/>
                <w:szCs w:val="14"/>
              </w:rPr>
              <w:t>Compatible</w:t>
            </w:r>
            <w:proofErr w:type="gramEnd"/>
            <w:r w:rsidRPr="001C3AE0">
              <w:rPr>
                <w:sz w:val="14"/>
                <w:szCs w:val="14"/>
              </w:rPr>
              <w:t xml:space="preserve"> con la Ley 1581 de 2012 y con la política nacional de IA (CONPES 4144 de 2025).</w:t>
            </w:r>
          </w:p>
        </w:tc>
        <w:tc>
          <w:tcPr>
            <w:tcW w:w="3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4AF6338D" w14:textId="77777777" w:rsidR="00F25855" w:rsidRPr="001C3AE0" w:rsidRDefault="00000000">
            <w:pPr>
              <w:spacing w:line="200" w:lineRule="auto"/>
            </w:pPr>
            <w:proofErr w:type="gramStart"/>
            <w:r w:rsidRPr="001C3AE0">
              <w:rPr>
                <w:b/>
                <w:bCs/>
                <w:sz w:val="14"/>
                <w:szCs w:val="14"/>
              </w:rPr>
              <w:t xml:space="preserve">5  </w:t>
            </w:r>
            <w:r w:rsidRPr="001C3AE0">
              <w:rPr>
                <w:sz w:val="14"/>
                <w:szCs w:val="14"/>
              </w:rPr>
              <w:t>Política</w:t>
            </w:r>
            <w:proofErr w:type="gramEnd"/>
            <w:r w:rsidRPr="001C3AE0">
              <w:rPr>
                <w:sz w:val="14"/>
                <w:szCs w:val="14"/>
              </w:rPr>
              <w:t xml:space="preserve"> de Gobierno Digital (Decreto 1008 de 2018), aplicable por el control estatal de la entidad y su articulación con MIPG.</w:t>
            </w:r>
          </w:p>
        </w:tc>
      </w:tr>
      <w:tr w:rsidR="00F25855" w:rsidRPr="001C3AE0" w14:paraId="4AF63395" w14:textId="77777777" w:rsidTr="00B3191F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AE9F7" w:themeFill="text2" w:themeFillTint="1A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4AF6338F" w14:textId="77777777" w:rsidR="00F25855" w:rsidRPr="001C3AE0" w:rsidRDefault="00000000">
            <w:pPr>
              <w:spacing w:line="200" w:lineRule="auto"/>
            </w:pPr>
            <w:r w:rsidRPr="001C3AE0">
              <w:rPr>
                <w:b/>
                <w:bCs/>
                <w:sz w:val="14"/>
                <w:szCs w:val="14"/>
              </w:rPr>
              <w:t>Madurez organizacional (ajuste a baja madurez)</w:t>
            </w:r>
          </w:p>
        </w:tc>
        <w:tc>
          <w:tcPr>
            <w:tcW w:w="5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AE9F7" w:themeFill="text2" w:themeFillTint="1A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4AF63390" w14:textId="77777777" w:rsidR="00F25855" w:rsidRPr="001C3AE0" w:rsidRDefault="00000000">
            <w:pPr>
              <w:spacing w:line="200" w:lineRule="auto"/>
              <w:jc w:val="center"/>
            </w:pPr>
            <w:r w:rsidRPr="001C3AE0">
              <w:rPr>
                <w:b/>
                <w:bCs/>
                <w:sz w:val="14"/>
                <w:szCs w:val="14"/>
              </w:rPr>
              <w:t>15 %</w:t>
            </w:r>
          </w:p>
        </w:tc>
        <w:tc>
          <w:tcPr>
            <w:tcW w:w="3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4AF63391" w14:textId="77777777" w:rsidR="00F25855" w:rsidRPr="001C3AE0" w:rsidRDefault="00000000">
            <w:pPr>
              <w:spacing w:line="200" w:lineRule="auto"/>
            </w:pPr>
            <w:proofErr w:type="gramStart"/>
            <w:r w:rsidRPr="001C3AE0">
              <w:rPr>
                <w:b/>
                <w:bCs/>
                <w:sz w:val="14"/>
                <w:szCs w:val="14"/>
              </w:rPr>
              <w:t xml:space="preserve">4  </w:t>
            </w:r>
            <w:r w:rsidRPr="001C3AE0">
              <w:rPr>
                <w:sz w:val="14"/>
                <w:szCs w:val="14"/>
              </w:rPr>
              <w:t>Niveles</w:t>
            </w:r>
            <w:proofErr w:type="gramEnd"/>
            <w:r w:rsidRPr="001C3AE0">
              <w:rPr>
                <w:sz w:val="14"/>
                <w:szCs w:val="14"/>
              </w:rPr>
              <w:t xml:space="preserve"> de capacidad permiten metas de nivel 2 a 3 en 18 meses; factores de diseño para crisis.</w:t>
            </w:r>
          </w:p>
        </w:tc>
        <w:tc>
          <w:tcPr>
            <w:tcW w:w="3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4AF63392" w14:textId="77777777" w:rsidR="00F25855" w:rsidRPr="001C3AE0" w:rsidRDefault="00000000">
            <w:pPr>
              <w:spacing w:line="200" w:lineRule="auto"/>
            </w:pPr>
            <w:proofErr w:type="gramStart"/>
            <w:r w:rsidRPr="001C3AE0">
              <w:rPr>
                <w:b/>
                <w:bCs/>
                <w:sz w:val="14"/>
                <w:szCs w:val="14"/>
              </w:rPr>
              <w:t xml:space="preserve">3  </w:t>
            </w:r>
            <w:r w:rsidRPr="001C3AE0">
              <w:rPr>
                <w:sz w:val="14"/>
                <w:szCs w:val="14"/>
              </w:rPr>
              <w:t>El</w:t>
            </w:r>
            <w:proofErr w:type="gramEnd"/>
            <w:r w:rsidRPr="001C3AE0">
              <w:rPr>
                <w:sz w:val="14"/>
                <w:szCs w:val="14"/>
              </w:rPr>
              <w:t xml:space="preserve"> principio de empezar donde se está favorece la adopción, pero presupone una cultura de servicio.</w:t>
            </w:r>
          </w:p>
        </w:tc>
        <w:tc>
          <w:tcPr>
            <w:tcW w:w="3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4AF63393" w14:textId="77777777" w:rsidR="00F25855" w:rsidRPr="001C3AE0" w:rsidRDefault="00000000">
            <w:pPr>
              <w:spacing w:line="200" w:lineRule="auto"/>
            </w:pPr>
            <w:proofErr w:type="gramStart"/>
            <w:r w:rsidRPr="001C3AE0">
              <w:rPr>
                <w:b/>
                <w:bCs/>
                <w:sz w:val="14"/>
                <w:szCs w:val="14"/>
              </w:rPr>
              <w:t xml:space="preserve">3  </w:t>
            </w:r>
            <w:r w:rsidRPr="001C3AE0">
              <w:rPr>
                <w:sz w:val="14"/>
                <w:szCs w:val="14"/>
              </w:rPr>
              <w:t>Requiere</w:t>
            </w:r>
            <w:proofErr w:type="gramEnd"/>
            <w:r w:rsidRPr="001C3AE0">
              <w:rPr>
                <w:sz w:val="14"/>
                <w:szCs w:val="14"/>
              </w:rPr>
              <w:t xml:space="preserve"> una función de gobierno de datos previa que no existe (B2).</w:t>
            </w:r>
          </w:p>
        </w:tc>
        <w:tc>
          <w:tcPr>
            <w:tcW w:w="3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4AF63394" w14:textId="77777777" w:rsidR="00F25855" w:rsidRPr="001C3AE0" w:rsidRDefault="00000000">
            <w:pPr>
              <w:spacing w:line="200" w:lineRule="auto"/>
            </w:pPr>
            <w:proofErr w:type="gramStart"/>
            <w:r w:rsidRPr="001C3AE0">
              <w:rPr>
                <w:b/>
                <w:bCs/>
                <w:sz w:val="14"/>
                <w:szCs w:val="14"/>
              </w:rPr>
              <w:t xml:space="preserve">4  </w:t>
            </w:r>
            <w:r w:rsidRPr="001C3AE0">
              <w:rPr>
                <w:sz w:val="14"/>
                <w:szCs w:val="14"/>
              </w:rPr>
              <w:t>Diseñado</w:t>
            </w:r>
            <w:proofErr w:type="gramEnd"/>
            <w:r w:rsidRPr="001C3AE0">
              <w:rPr>
                <w:sz w:val="14"/>
                <w:szCs w:val="14"/>
              </w:rPr>
              <w:t xml:space="preserve"> para entidades de madurez heterogénea; incluye instrumentos de autodiagnóstico.</w:t>
            </w:r>
          </w:p>
        </w:tc>
      </w:tr>
      <w:tr w:rsidR="00F25855" w:rsidRPr="001C3AE0" w14:paraId="4AF6339C" w14:textId="77777777" w:rsidTr="00B3191F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9F2D0" w:themeFill="accent6" w:themeFillTint="33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4AF63396" w14:textId="77777777" w:rsidR="00F25855" w:rsidRPr="001C3AE0" w:rsidRDefault="00000000">
            <w:pPr>
              <w:spacing w:line="200" w:lineRule="auto"/>
            </w:pPr>
            <w:r w:rsidRPr="001C3AE0">
              <w:rPr>
                <w:b/>
                <w:bCs/>
                <w:sz w:val="14"/>
                <w:szCs w:val="14"/>
              </w:rPr>
              <w:t>Puntaje ponderado (máximo 5) y posición</w:t>
            </w:r>
          </w:p>
        </w:tc>
        <w:tc>
          <w:tcPr>
            <w:tcW w:w="5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9F2D0" w:themeFill="accent6" w:themeFillTint="33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4AF63397" w14:textId="77777777" w:rsidR="00F25855" w:rsidRPr="001C3AE0" w:rsidRDefault="00000000">
            <w:pPr>
              <w:spacing w:line="200" w:lineRule="auto"/>
              <w:jc w:val="center"/>
            </w:pPr>
            <w:r w:rsidRPr="001C3AE0">
              <w:rPr>
                <w:b/>
                <w:bCs/>
                <w:sz w:val="14"/>
                <w:szCs w:val="14"/>
              </w:rPr>
              <w:t>100 %</w:t>
            </w:r>
          </w:p>
        </w:tc>
        <w:tc>
          <w:tcPr>
            <w:tcW w:w="3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9F2D0" w:themeFill="accent6" w:themeFillTint="33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4AF63398" w14:textId="77777777" w:rsidR="00F25855" w:rsidRPr="001C3AE0" w:rsidRDefault="00000000">
            <w:pPr>
              <w:spacing w:line="200" w:lineRule="auto"/>
            </w:pPr>
            <w:r w:rsidRPr="001C3AE0">
              <w:rPr>
                <w:b/>
                <w:bCs/>
                <w:sz w:val="14"/>
                <w:szCs w:val="14"/>
              </w:rPr>
              <w:t>4,</w:t>
            </w:r>
            <w:proofErr w:type="gramStart"/>
            <w:r w:rsidRPr="001C3AE0">
              <w:rPr>
                <w:b/>
                <w:bCs/>
                <w:sz w:val="14"/>
                <w:szCs w:val="14"/>
              </w:rPr>
              <w:t xml:space="preserve">20  </w:t>
            </w:r>
            <w:r w:rsidRPr="001C3AE0">
              <w:rPr>
                <w:sz w:val="14"/>
                <w:szCs w:val="14"/>
              </w:rPr>
              <w:t>1.º</w:t>
            </w:r>
            <w:proofErr w:type="gramEnd"/>
            <w:r w:rsidRPr="001C3AE0">
              <w:rPr>
                <w:sz w:val="14"/>
                <w:szCs w:val="14"/>
              </w:rPr>
              <w:t xml:space="preserve"> (marco principal)</w:t>
            </w:r>
          </w:p>
        </w:tc>
        <w:tc>
          <w:tcPr>
            <w:tcW w:w="3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9F2D0" w:themeFill="accent6" w:themeFillTint="33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4AF63399" w14:textId="77777777" w:rsidR="00F25855" w:rsidRPr="001C3AE0" w:rsidRDefault="00000000">
            <w:pPr>
              <w:spacing w:line="200" w:lineRule="auto"/>
            </w:pPr>
            <w:r w:rsidRPr="001C3AE0">
              <w:rPr>
                <w:b/>
                <w:bCs/>
                <w:sz w:val="14"/>
                <w:szCs w:val="14"/>
              </w:rPr>
              <w:t>2,</w:t>
            </w:r>
            <w:proofErr w:type="gramStart"/>
            <w:r w:rsidRPr="001C3AE0">
              <w:rPr>
                <w:b/>
                <w:bCs/>
                <w:sz w:val="14"/>
                <w:szCs w:val="14"/>
              </w:rPr>
              <w:t xml:space="preserve">85  </w:t>
            </w:r>
            <w:r w:rsidRPr="001C3AE0">
              <w:rPr>
                <w:sz w:val="14"/>
                <w:szCs w:val="14"/>
              </w:rPr>
              <w:t>3.º</w:t>
            </w:r>
            <w:proofErr w:type="gramEnd"/>
            <w:r w:rsidRPr="001C3AE0">
              <w:rPr>
                <w:sz w:val="14"/>
                <w:szCs w:val="14"/>
              </w:rPr>
              <w:t xml:space="preserve"> (complemento acotado)</w:t>
            </w:r>
          </w:p>
        </w:tc>
        <w:tc>
          <w:tcPr>
            <w:tcW w:w="3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9F2D0" w:themeFill="accent6" w:themeFillTint="33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4AF6339A" w14:textId="77777777" w:rsidR="00F25855" w:rsidRPr="001C3AE0" w:rsidRDefault="00000000">
            <w:pPr>
              <w:spacing w:line="200" w:lineRule="auto"/>
            </w:pPr>
            <w:r w:rsidRPr="001C3AE0">
              <w:rPr>
                <w:b/>
                <w:bCs/>
                <w:sz w:val="14"/>
                <w:szCs w:val="14"/>
              </w:rPr>
              <w:t>2,</w:t>
            </w:r>
            <w:proofErr w:type="gramStart"/>
            <w:r w:rsidRPr="001C3AE0">
              <w:rPr>
                <w:b/>
                <w:bCs/>
                <w:sz w:val="14"/>
                <w:szCs w:val="14"/>
              </w:rPr>
              <w:t xml:space="preserve">70  </w:t>
            </w:r>
            <w:r w:rsidRPr="001C3AE0">
              <w:rPr>
                <w:sz w:val="14"/>
                <w:szCs w:val="14"/>
              </w:rPr>
              <w:t>4.º</w:t>
            </w:r>
            <w:proofErr w:type="gramEnd"/>
            <w:r w:rsidRPr="001C3AE0">
              <w:rPr>
                <w:sz w:val="14"/>
                <w:szCs w:val="14"/>
              </w:rPr>
              <w:t xml:space="preserve"> (complemento acotado)</w:t>
            </w:r>
          </w:p>
        </w:tc>
        <w:tc>
          <w:tcPr>
            <w:tcW w:w="3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9F2D0" w:themeFill="accent6" w:themeFillTint="33"/>
            <w:tcMar>
              <w:top w:w="15" w:type="dxa"/>
              <w:left w:w="50" w:type="dxa"/>
              <w:bottom w:w="15" w:type="dxa"/>
              <w:right w:w="50" w:type="dxa"/>
            </w:tcMar>
          </w:tcPr>
          <w:p w14:paraId="4AF6339B" w14:textId="77777777" w:rsidR="00F25855" w:rsidRPr="001C3AE0" w:rsidRDefault="00000000">
            <w:pPr>
              <w:spacing w:line="200" w:lineRule="auto"/>
            </w:pPr>
            <w:r w:rsidRPr="001C3AE0">
              <w:rPr>
                <w:b/>
                <w:bCs/>
                <w:sz w:val="14"/>
                <w:szCs w:val="14"/>
              </w:rPr>
              <w:t>4,</w:t>
            </w:r>
            <w:proofErr w:type="gramStart"/>
            <w:r w:rsidRPr="001C3AE0">
              <w:rPr>
                <w:b/>
                <w:bCs/>
                <w:sz w:val="14"/>
                <w:szCs w:val="14"/>
              </w:rPr>
              <w:t xml:space="preserve">05  </w:t>
            </w:r>
            <w:r w:rsidRPr="001C3AE0">
              <w:rPr>
                <w:sz w:val="14"/>
                <w:szCs w:val="14"/>
              </w:rPr>
              <w:t>2.º</w:t>
            </w:r>
            <w:proofErr w:type="gramEnd"/>
            <w:r w:rsidRPr="001C3AE0">
              <w:rPr>
                <w:sz w:val="14"/>
                <w:szCs w:val="14"/>
              </w:rPr>
              <w:t xml:space="preserve"> (complemento normativo)</w:t>
            </w:r>
          </w:p>
        </w:tc>
      </w:tr>
    </w:tbl>
    <w:p w14:paraId="2537640A" w14:textId="77777777" w:rsidR="0031368E" w:rsidRDefault="0031368E">
      <w:pPr>
        <w:spacing w:before="40"/>
        <w:jc w:val="both"/>
        <w:rPr>
          <w:b/>
          <w:bCs/>
        </w:rPr>
      </w:pPr>
    </w:p>
    <w:p w14:paraId="4AF6339D" w14:textId="414F95EC" w:rsidR="00F25855" w:rsidRPr="001C3AE0" w:rsidRDefault="00000000">
      <w:pPr>
        <w:spacing w:before="40"/>
        <w:jc w:val="both"/>
      </w:pPr>
      <w:r w:rsidRPr="001C3AE0">
        <w:rPr>
          <w:b/>
          <w:bCs/>
        </w:rPr>
        <w:t xml:space="preserve">3. Decisión. </w:t>
      </w:r>
      <w:r w:rsidRPr="001C3AE0">
        <w:t>Ningún marco cubre solo el problema; se adopta una combinación con jerarquía explícita: COBIT 2019 como marco principal, MGGTI de MinTIC como complemento normativo, ITIL 4 y NIST AI RMF como complementos acotados a prácticas y componentes específicos (justificación en la página 2).</w:t>
      </w:r>
    </w:p>
    <w:p w14:paraId="4AF6339E" w14:textId="77777777" w:rsidR="00F25855" w:rsidRPr="001C3AE0" w:rsidRDefault="00000000">
      <w:pPr>
        <w:pageBreakBefore/>
        <w:spacing w:after="40"/>
      </w:pPr>
      <w:r w:rsidRPr="001C3AE0">
        <w:rPr>
          <w:b/>
          <w:bCs/>
          <w:sz w:val="17"/>
          <w:szCs w:val="17"/>
        </w:rPr>
        <w:lastRenderedPageBreak/>
        <w:t>4. Justificación argumentada de la decisión (máximo media página)</w:t>
      </w:r>
    </w:p>
    <w:p w14:paraId="4AF6339F" w14:textId="77777777" w:rsidR="00F25855" w:rsidRPr="001C3AE0" w:rsidRDefault="00000000">
      <w:pPr>
        <w:spacing w:after="70" w:line="264" w:lineRule="auto"/>
        <w:jc w:val="both"/>
      </w:pPr>
      <w:r w:rsidRPr="001C3AE0">
        <w:rPr>
          <w:sz w:val="18"/>
          <w:szCs w:val="18"/>
        </w:rPr>
        <w:t>COBIT 2019 obtiene el mayor puntaje (4,20) porque es el único marco que separa gobierno de gestión y ofrece objetivos trazables a cada brecha: EDM01 y APO01 para la estructura de decisión que no sobrevivió a cinco interventores (B4, H6), EDM02 y APO05 para la evaluación de valor y el portafolio de inversiones (B1, H1), APO14 para el gobierno de datos (B2, H3), MEA03 para el cumplimiento del reporte regulatorio (H4), APO10 y DSS06 para proveedores y controles embebidos (B3, H5), y EDM03 con APO12 para el riesgo (B5, H7). Su cascada de metas y sus niveles de capacidad permiten construir el mapa de alineación TI-negocio y fijar metas verificables en el Plan Estratégico de TI. La alta complejidad, su principal debilidad, se mitiga acotando la adopción a esos ocho objetivos y fijando una meta de capacidad de nivel 2 a 3 en 18 meses, en línea con el principio de adaptar el sistema de gobierno a la empresa (ISACA, 2018).</w:t>
      </w:r>
    </w:p>
    <w:p w14:paraId="4AF633A0" w14:textId="77777777" w:rsidR="00F25855" w:rsidRPr="001C3AE0" w:rsidRDefault="00000000">
      <w:pPr>
        <w:spacing w:after="70" w:line="264" w:lineRule="auto"/>
        <w:jc w:val="both"/>
      </w:pPr>
      <w:r w:rsidRPr="001C3AE0">
        <w:rPr>
          <w:sz w:val="18"/>
          <w:szCs w:val="18"/>
        </w:rPr>
        <w:t>El MGGTI de MinTIC (4,05) se incorpora como complemento normativo porque Nueva EPS está bajo control estatal y la Política de Gobierno Digital le es exigible: su esquema de gobierno de TI, su dominio de estrategia de TI (metodología PETI) y sus lineamientos de gestión de información traducen los objetivos de COBIT al lenguaje y a las evidencias que la Supersalud, MinTIC y los órganos de control reconocen (MinTIC, 2022).</w:t>
      </w:r>
    </w:p>
    <w:p w14:paraId="4AF633A1" w14:textId="77777777" w:rsidR="00F25855" w:rsidRPr="001C3AE0" w:rsidRDefault="00000000">
      <w:pPr>
        <w:spacing w:after="70" w:line="264" w:lineRule="auto"/>
        <w:jc w:val="both"/>
      </w:pPr>
      <w:r w:rsidRPr="001C3AE0">
        <w:rPr>
          <w:sz w:val="18"/>
          <w:szCs w:val="18"/>
        </w:rPr>
        <w:t xml:space="preserve">ITIL 4 (2,85) no se </w:t>
      </w:r>
      <w:proofErr w:type="gramStart"/>
      <w:r w:rsidRPr="001C3AE0">
        <w:rPr>
          <w:sz w:val="18"/>
          <w:szCs w:val="18"/>
        </w:rPr>
        <w:t>descarta</w:t>
      </w:r>
      <w:proofErr w:type="gramEnd"/>
      <w:r w:rsidRPr="001C3AE0">
        <w:rPr>
          <w:sz w:val="18"/>
          <w:szCs w:val="18"/>
        </w:rPr>
        <w:t xml:space="preserve"> sino que se acota a las prácticas en las que COBIT es insuficiente: gestión de cambios para la transición a </w:t>
      </w:r>
      <w:proofErr w:type="spellStart"/>
      <w:r w:rsidRPr="001C3AE0">
        <w:rPr>
          <w:sz w:val="18"/>
          <w:szCs w:val="18"/>
        </w:rPr>
        <w:t>Factramed</w:t>
      </w:r>
      <w:proofErr w:type="spellEnd"/>
      <w:r w:rsidRPr="001C3AE0">
        <w:rPr>
          <w:sz w:val="18"/>
          <w:szCs w:val="18"/>
        </w:rPr>
        <w:t xml:space="preserve"> (H2), y gestión de proveedores y de niveles de servicio para las firmas auditoras externas (H5). NIST AI RMF (2,70) se limita a un perfil de uso para el modelo analítico de priorización de auditoría, de modo que su riesgo (sesgo territorial, opacidad, uso de datos personales) quede gobernado desde el diseño (H7) y en coherencia con la Ley 1581 de 2012.</w:t>
      </w:r>
    </w:p>
    <w:p w14:paraId="4AF633A2" w14:textId="77777777" w:rsidR="00F25855" w:rsidRPr="001C3AE0" w:rsidRDefault="00000000">
      <w:pPr>
        <w:spacing w:after="70" w:line="264" w:lineRule="auto"/>
        <w:jc w:val="both"/>
      </w:pPr>
      <w:r w:rsidRPr="001C3AE0">
        <w:rPr>
          <w:sz w:val="18"/>
          <w:szCs w:val="18"/>
        </w:rPr>
        <w:t>La combinación respeta el carácter integrador de COBIT, que remite de forma explícita a ITIL y a otros estándares, y controla el principal riesgo de la selección: un modelo de gobierno sobredimensionado para una entidad en intervención, con alta rotación directiva y baja madurez. Por ello la regla de diseño del Entregable 2 será que cada mecanismo propuesto se justifique con un objetivo COBIT priorizado y una evidencia exigible por el MGGTI.</w:t>
      </w:r>
    </w:p>
    <w:p w14:paraId="4AF633A3" w14:textId="77777777" w:rsidR="00F25855" w:rsidRPr="001C3AE0" w:rsidRDefault="00000000">
      <w:pPr>
        <w:pBdr>
          <w:top w:val="single" w:sz="4" w:space="2" w:color="9AA5B1"/>
        </w:pBdr>
        <w:spacing w:before="20"/>
      </w:pPr>
      <w:r w:rsidRPr="001C3AE0">
        <w:rPr>
          <w:i/>
          <w:iCs/>
          <w:sz w:val="14"/>
          <w:szCs w:val="14"/>
        </w:rPr>
        <w:t xml:space="preserve">Fuentes: ISACA (2018), COBIT 2019 Framework: </w:t>
      </w:r>
      <w:proofErr w:type="spellStart"/>
      <w:r w:rsidRPr="001C3AE0">
        <w:rPr>
          <w:i/>
          <w:iCs/>
          <w:sz w:val="14"/>
          <w:szCs w:val="14"/>
        </w:rPr>
        <w:t>Introduction</w:t>
      </w:r>
      <w:proofErr w:type="spellEnd"/>
      <w:r w:rsidRPr="001C3AE0">
        <w:rPr>
          <w:i/>
          <w:iCs/>
          <w:sz w:val="14"/>
          <w:szCs w:val="14"/>
        </w:rPr>
        <w:t xml:space="preserve"> and </w:t>
      </w:r>
      <w:proofErr w:type="spellStart"/>
      <w:r w:rsidRPr="001C3AE0">
        <w:rPr>
          <w:i/>
          <w:iCs/>
          <w:sz w:val="14"/>
          <w:szCs w:val="14"/>
        </w:rPr>
        <w:t>Methodology</w:t>
      </w:r>
      <w:proofErr w:type="spellEnd"/>
      <w:r w:rsidRPr="001C3AE0">
        <w:rPr>
          <w:i/>
          <w:iCs/>
          <w:sz w:val="14"/>
          <w:szCs w:val="14"/>
        </w:rPr>
        <w:t xml:space="preserve">; AXELOS (2019), ITIL </w:t>
      </w:r>
      <w:proofErr w:type="spellStart"/>
      <w:r w:rsidRPr="001C3AE0">
        <w:rPr>
          <w:i/>
          <w:iCs/>
          <w:sz w:val="14"/>
          <w:szCs w:val="14"/>
        </w:rPr>
        <w:t>Foundation</w:t>
      </w:r>
      <w:proofErr w:type="spellEnd"/>
      <w:r w:rsidRPr="001C3AE0">
        <w:rPr>
          <w:i/>
          <w:iCs/>
          <w:sz w:val="14"/>
          <w:szCs w:val="14"/>
        </w:rPr>
        <w:t xml:space="preserve">: ITIL 4 </w:t>
      </w:r>
      <w:proofErr w:type="spellStart"/>
      <w:r w:rsidRPr="001C3AE0">
        <w:rPr>
          <w:i/>
          <w:iCs/>
          <w:sz w:val="14"/>
          <w:szCs w:val="14"/>
        </w:rPr>
        <w:t>Edition</w:t>
      </w:r>
      <w:proofErr w:type="spellEnd"/>
      <w:r w:rsidRPr="001C3AE0">
        <w:rPr>
          <w:i/>
          <w:iCs/>
          <w:sz w:val="14"/>
          <w:szCs w:val="14"/>
        </w:rPr>
        <w:t>; NIST (2023), AI Risk Management Framework 1.0; MinTIC (2022), Marco de Referencia de Arquitectura Empresarial, Modelo de Gestión y Gobierno de TI; ISO/IEC 38500:2015; Entregable 1 y Bitácora de Gobierno n.º 1 del equipo (brechas B1 a B5 e hipótesis H1 a H7). Elaboración propia.</w:t>
      </w:r>
    </w:p>
    <w:sectPr w:rsidR="00F25855" w:rsidRPr="001C3AE0">
      <w:pgSz w:w="15840" w:h="12240" w:orient="landscape"/>
      <w:pgMar w:top="500" w:right="720" w:bottom="45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1517AB"/>
    <w:multiLevelType w:val="hybridMultilevel"/>
    <w:tmpl w:val="E7BCB096"/>
    <w:lvl w:ilvl="0" w:tplc="14F43B5C">
      <w:start w:val="1"/>
      <w:numFmt w:val="bullet"/>
      <w:lvlText w:val="●"/>
      <w:lvlJc w:val="left"/>
      <w:pPr>
        <w:ind w:left="720" w:hanging="360"/>
      </w:pPr>
    </w:lvl>
    <w:lvl w:ilvl="1" w:tplc="9852257E">
      <w:start w:val="1"/>
      <w:numFmt w:val="bullet"/>
      <w:lvlText w:val="○"/>
      <w:lvlJc w:val="left"/>
      <w:pPr>
        <w:ind w:left="1440" w:hanging="360"/>
      </w:pPr>
    </w:lvl>
    <w:lvl w:ilvl="2" w:tplc="C7F48AFE">
      <w:start w:val="1"/>
      <w:numFmt w:val="bullet"/>
      <w:lvlText w:val="■"/>
      <w:lvlJc w:val="left"/>
      <w:pPr>
        <w:ind w:left="2160" w:hanging="360"/>
      </w:pPr>
    </w:lvl>
    <w:lvl w:ilvl="3" w:tplc="9E00EF44">
      <w:start w:val="1"/>
      <w:numFmt w:val="bullet"/>
      <w:lvlText w:val="●"/>
      <w:lvlJc w:val="left"/>
      <w:pPr>
        <w:ind w:left="2880" w:hanging="360"/>
      </w:pPr>
    </w:lvl>
    <w:lvl w:ilvl="4" w:tplc="C0D41980">
      <w:start w:val="1"/>
      <w:numFmt w:val="bullet"/>
      <w:lvlText w:val="○"/>
      <w:lvlJc w:val="left"/>
      <w:pPr>
        <w:ind w:left="3600" w:hanging="360"/>
      </w:pPr>
    </w:lvl>
    <w:lvl w:ilvl="5" w:tplc="8242ADBA">
      <w:start w:val="1"/>
      <w:numFmt w:val="bullet"/>
      <w:lvlText w:val="■"/>
      <w:lvlJc w:val="left"/>
      <w:pPr>
        <w:ind w:left="4320" w:hanging="360"/>
      </w:pPr>
    </w:lvl>
    <w:lvl w:ilvl="6" w:tplc="53CE78A8">
      <w:start w:val="1"/>
      <w:numFmt w:val="bullet"/>
      <w:lvlText w:val="●"/>
      <w:lvlJc w:val="left"/>
      <w:pPr>
        <w:ind w:left="5040" w:hanging="360"/>
      </w:pPr>
    </w:lvl>
    <w:lvl w:ilvl="7" w:tplc="507AEEE0">
      <w:start w:val="1"/>
      <w:numFmt w:val="bullet"/>
      <w:lvlText w:val="●"/>
      <w:lvlJc w:val="left"/>
      <w:pPr>
        <w:ind w:left="5760" w:hanging="360"/>
      </w:pPr>
    </w:lvl>
    <w:lvl w:ilvl="8" w:tplc="A0D6B3C0">
      <w:start w:val="1"/>
      <w:numFmt w:val="bullet"/>
      <w:lvlText w:val="●"/>
      <w:lvlJc w:val="left"/>
      <w:pPr>
        <w:ind w:left="6480" w:hanging="360"/>
      </w:pPr>
    </w:lvl>
  </w:abstractNum>
  <w:num w:numId="1" w16cid:durableId="5118011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5855"/>
    <w:rsid w:val="001A5295"/>
    <w:rsid w:val="001C3AE0"/>
    <w:rsid w:val="0031368E"/>
    <w:rsid w:val="00B3191F"/>
    <w:rsid w:val="00C53E55"/>
    <w:rsid w:val="00EB5346"/>
    <w:rsid w:val="00F13F99"/>
    <w:rsid w:val="00F25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F63330"/>
  <w15:docId w15:val="{98A14A09-9340-478B-9CEF-79B0CE145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5"/>
        <w:szCs w:val="15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1595</Words>
  <Characters>8425</Characters>
  <Application>Microsoft Office Word</Application>
  <DocSecurity>0</DocSecurity>
  <Lines>200</Lines>
  <Paragraphs>117</Paragraphs>
  <ScaleCrop>false</ScaleCrop>
  <Company/>
  <LinksUpToDate>false</LinksUpToDate>
  <CharactersWithSpaces>9903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Felix Mauricio Campo Ariza</cp:lastModifiedBy>
  <cp:revision>7</cp:revision>
  <dcterms:created xsi:type="dcterms:W3CDTF">2026-09-12T19:36:00Z</dcterms:created>
  <dcterms:modified xsi:type="dcterms:W3CDTF">2026-09-12T19:43:00Z</dcterms:modified>
</cp:coreProperties>
</file>