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014C4" w:rsidRDefault="00E014C4" w:rsidP="00E014C4">
      <w:pPr>
        <w:spacing w:line="211" w:lineRule="auto"/>
        <w:ind w:left="1058" w:right="1059"/>
        <w:jc w:val="center"/>
        <w:rPr>
          <w:rFonts w:ascii="Times New Roman" w:hAnsi="Times New Roman"/>
          <w:b/>
          <w:sz w:val="23"/>
        </w:rPr>
      </w:pPr>
      <w:r>
        <w:rPr>
          <w:rFonts w:ascii="Times New Roman" w:hAnsi="Times New Roman"/>
          <w:b/>
          <w:sz w:val="23"/>
        </w:rPr>
        <w:t>Обговорення: «Оцінка ризиків інвестування</w:t>
      </w:r>
      <w:r>
        <w:rPr>
          <w:rFonts w:ascii="Times New Roman" w:hAnsi="Times New Roman"/>
          <w:b/>
          <w:spacing w:val="-55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в</w:t>
      </w:r>
      <w:r>
        <w:rPr>
          <w:rFonts w:ascii="Times New Roman" w:hAnsi="Times New Roman"/>
          <w:b/>
          <w:spacing w:val="-1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нанотехнології»</w:t>
      </w:r>
    </w:p>
    <w:p w:rsidR="00E014C4" w:rsidRDefault="00E014C4" w:rsidP="00E014C4">
      <w:pPr>
        <w:pStyle w:val="a3"/>
        <w:rPr>
          <w:rFonts w:ascii="Times New Roman"/>
          <w:b/>
          <w:sz w:val="24"/>
        </w:rPr>
      </w:pPr>
    </w:p>
    <w:p w:rsidR="00E014C4" w:rsidRDefault="00E014C4" w:rsidP="00E014C4">
      <w:pPr>
        <w:spacing w:line="249" w:lineRule="auto"/>
        <w:ind w:left="160" w:right="159"/>
        <w:jc w:val="center"/>
        <w:rPr>
          <w:sz w:val="24"/>
        </w:rPr>
      </w:pP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Особливостями</w:t>
      </w:r>
      <w:r>
        <w:rPr>
          <w:spacing w:val="27"/>
          <w:sz w:val="24"/>
        </w:rPr>
        <w:t xml:space="preserve"> </w:t>
      </w: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нанотехнологій,</w:t>
      </w:r>
      <w:r>
        <w:rPr>
          <w:spacing w:val="28"/>
          <w:sz w:val="24"/>
        </w:rPr>
        <w:t xml:space="preserve"> </w:t>
      </w: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що</w:t>
      </w:r>
      <w:r>
        <w:rPr>
          <w:spacing w:val="30"/>
          <w:sz w:val="24"/>
        </w:rPr>
        <w:t xml:space="preserve"> </w:t>
      </w: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породжують</w:t>
      </w:r>
      <w:r>
        <w:rPr>
          <w:spacing w:val="-61"/>
          <w:sz w:val="24"/>
        </w:rPr>
        <w:t xml:space="preserve"> </w:t>
      </w: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специфічні</w:t>
      </w:r>
      <w:r>
        <w:rPr>
          <w:spacing w:val="4"/>
          <w:sz w:val="24"/>
        </w:rPr>
        <w:t xml:space="preserve"> </w:t>
      </w: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етичні</w:t>
      </w:r>
      <w:r>
        <w:rPr>
          <w:spacing w:val="6"/>
          <w:sz w:val="24"/>
        </w:rPr>
        <w:t xml:space="preserve"> </w:t>
      </w:r>
      <w:r w:rsidRPr="00E014C4">
        <w:rPr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питання:</w:t>
      </w:r>
    </w:p>
    <w:p w:rsidR="00E014C4" w:rsidRDefault="00E014C4" w:rsidP="00E014C4">
      <w:pPr>
        <w:pStyle w:val="a5"/>
        <w:numPr>
          <w:ilvl w:val="0"/>
          <w:numId w:val="1"/>
        </w:numPr>
        <w:tabs>
          <w:tab w:val="left" w:pos="685"/>
          <w:tab w:val="left" w:pos="686"/>
        </w:tabs>
        <w:spacing w:before="40" w:line="249" w:lineRule="auto"/>
        <w:ind w:right="629"/>
        <w:rPr>
          <w:sz w:val="14"/>
        </w:rPr>
      </w:pP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Невидимість</w:t>
      </w:r>
      <w:r>
        <w:rPr>
          <w:rFonts w:ascii="Arial" w:hAnsi="Arial"/>
          <w:b/>
          <w:spacing w:val="-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(що</w:t>
      </w:r>
      <w:r>
        <w:rPr>
          <w:spacing w:val="-7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робить</w:t>
      </w:r>
      <w:r>
        <w:rPr>
          <w:spacing w:val="-7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застосування</w:t>
      </w:r>
      <w:r>
        <w:rPr>
          <w:spacing w:val="-6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нанотехнологій</w:t>
      </w:r>
      <w:r>
        <w:rPr>
          <w:spacing w:val="-8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доволі</w:t>
      </w:r>
      <w:r>
        <w:rPr>
          <w:spacing w:val="-7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важким</w:t>
      </w:r>
      <w:r>
        <w:rPr>
          <w:spacing w:val="-7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для</w:t>
      </w:r>
      <w:r>
        <w:rPr>
          <w:spacing w:val="-3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контролювання);</w:t>
      </w:r>
    </w:p>
    <w:p w:rsidR="00E014C4" w:rsidRDefault="00E014C4" w:rsidP="00E014C4">
      <w:pPr>
        <w:pStyle w:val="a5"/>
        <w:numPr>
          <w:ilvl w:val="0"/>
          <w:numId w:val="1"/>
        </w:numPr>
        <w:tabs>
          <w:tab w:val="left" w:pos="685"/>
          <w:tab w:val="left" w:pos="686"/>
        </w:tabs>
        <w:spacing w:before="4" w:line="249" w:lineRule="auto"/>
        <w:ind w:right="358"/>
        <w:rPr>
          <w:sz w:val="14"/>
        </w:rPr>
      </w:pP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Швидкий</w:t>
      </w:r>
      <w:r>
        <w:rPr>
          <w:rFonts w:ascii="Arial" w:hAnsi="Arial"/>
          <w:b/>
          <w:spacing w:val="-8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розвиток</w:t>
      </w:r>
      <w:r>
        <w:rPr>
          <w:rFonts w:ascii="Arial" w:hAnsi="Arial"/>
          <w:b/>
          <w:spacing w:val="-7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(що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робить</w:t>
      </w:r>
      <w:r>
        <w:rPr>
          <w:spacing w:val="-6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складним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оперативне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виявлення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і</w:t>
      </w:r>
      <w:r>
        <w:rPr>
          <w:spacing w:val="-6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реагування</w:t>
      </w:r>
      <w:r>
        <w:rPr>
          <w:spacing w:val="-3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щодо</w:t>
      </w:r>
      <w:r>
        <w:rPr>
          <w:spacing w:val="-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потенційних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ризиків,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особливо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далекоглядних);</w:t>
      </w:r>
    </w:p>
    <w:p w:rsidR="00E014C4" w:rsidRDefault="00E014C4" w:rsidP="00E014C4">
      <w:pPr>
        <w:pStyle w:val="a5"/>
        <w:numPr>
          <w:ilvl w:val="0"/>
          <w:numId w:val="1"/>
        </w:numPr>
        <w:tabs>
          <w:tab w:val="left" w:pos="685"/>
          <w:tab w:val="left" w:pos="686"/>
        </w:tabs>
        <w:spacing w:before="5" w:line="249" w:lineRule="auto"/>
        <w:ind w:right="687"/>
        <w:rPr>
          <w:sz w:val="14"/>
        </w:rPr>
      </w:pP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Можливість</w:t>
      </w:r>
      <w:r>
        <w:rPr>
          <w:rFonts w:ascii="Arial" w:hAnsi="Arial"/>
          <w:b/>
          <w:spacing w:val="-5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застосування</w:t>
      </w:r>
      <w:r>
        <w:rPr>
          <w:rFonts w:ascii="Arial" w:hAnsi="Arial"/>
          <w:b/>
          <w:spacing w:val="-4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в</w:t>
      </w:r>
      <w:r>
        <w:rPr>
          <w:rFonts w:ascii="Arial" w:hAnsi="Arial"/>
          <w:b/>
          <w:spacing w:val="-4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цілях</w:t>
      </w:r>
      <w:r>
        <w:rPr>
          <w:rFonts w:ascii="Arial" w:hAnsi="Arial"/>
          <w:b/>
          <w:spacing w:val="-6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безпеки</w:t>
      </w:r>
      <w:r>
        <w:rPr>
          <w:rFonts w:ascii="Arial" w:hAnsi="Arial"/>
          <w:b/>
          <w:spacing w:val="-4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та</w:t>
      </w:r>
      <w:r>
        <w:rPr>
          <w:rFonts w:ascii="Arial" w:hAnsi="Arial"/>
          <w:b/>
          <w:spacing w:val="-5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оборони</w:t>
      </w:r>
      <w:r>
        <w:rPr>
          <w:rFonts w:ascii="Arial" w:hAnsi="Arial"/>
          <w:b/>
          <w:spacing w:val="-4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(що</w:t>
      </w:r>
      <w:r>
        <w:rPr>
          <w:spacing w:val="-3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може</w:t>
      </w:r>
      <w:r>
        <w:rPr>
          <w:spacing w:val="-3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стати</w:t>
      </w:r>
      <w:r>
        <w:rPr>
          <w:spacing w:val="-3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потенційною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загрозою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для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прав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людини);</w:t>
      </w:r>
    </w:p>
    <w:p w:rsidR="00E014C4" w:rsidRDefault="00E014C4" w:rsidP="00E014C4">
      <w:pPr>
        <w:pStyle w:val="a5"/>
        <w:numPr>
          <w:ilvl w:val="0"/>
          <w:numId w:val="1"/>
        </w:numPr>
        <w:tabs>
          <w:tab w:val="left" w:pos="685"/>
          <w:tab w:val="left" w:pos="686"/>
        </w:tabs>
        <w:spacing w:before="4" w:line="249" w:lineRule="auto"/>
        <w:ind w:right="388"/>
        <w:rPr>
          <w:sz w:val="14"/>
        </w:rPr>
      </w:pP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Глобальне</w:t>
      </w:r>
      <w:r>
        <w:rPr>
          <w:rFonts w:ascii="Arial" w:hAnsi="Arial"/>
          <w:b/>
          <w:spacing w:val="-8"/>
          <w:w w:val="105"/>
          <w:sz w:val="15"/>
        </w:rPr>
        <w:t xml:space="preserve"> </w:t>
      </w:r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значення</w:t>
      </w:r>
      <w:r>
        <w:rPr>
          <w:rFonts w:ascii="Arial" w:hAnsi="Arial"/>
          <w:b/>
          <w:spacing w:val="-6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(потенційний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вплив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на</w:t>
      </w:r>
      <w:r>
        <w:rPr>
          <w:spacing w:val="-6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країни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і</w:t>
      </w:r>
      <w:r>
        <w:rPr>
          <w:spacing w:val="-4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суспільства,</w:t>
      </w:r>
      <w:r>
        <w:rPr>
          <w:spacing w:val="-4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навіть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якщо</w:t>
      </w:r>
      <w:r>
        <w:rPr>
          <w:spacing w:val="-38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ті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не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брали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участь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у</w:t>
      </w:r>
      <w:r>
        <w:rPr>
          <w:spacing w:val="2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розробленні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нанотехнологій);</w:t>
      </w:r>
    </w:p>
    <w:p w:rsidR="00E014C4" w:rsidRDefault="00E014C4" w:rsidP="00E014C4">
      <w:pPr>
        <w:pStyle w:val="a5"/>
        <w:numPr>
          <w:ilvl w:val="0"/>
          <w:numId w:val="1"/>
        </w:numPr>
        <w:tabs>
          <w:tab w:val="left" w:pos="685"/>
          <w:tab w:val="left" w:pos="686"/>
        </w:tabs>
        <w:spacing w:before="6" w:line="252" w:lineRule="auto"/>
        <w:ind w:right="325"/>
        <w:rPr>
          <w:sz w:val="14"/>
        </w:rPr>
      </w:pPr>
      <w:proofErr w:type="spellStart"/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Нано</w:t>
      </w:r>
      <w:proofErr w:type="spellEnd"/>
      <w:r w:rsidRPr="00E014C4">
        <w:rPr>
          <w:rFonts w:ascii="Arial" w:hAnsi="Arial"/>
          <w:b/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-розділ</w:t>
      </w:r>
      <w:r>
        <w:rPr>
          <w:rFonts w:ascii="Arial" w:hAnsi="Arial"/>
          <w:b/>
          <w:spacing w:val="-1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(потенційне</w:t>
      </w:r>
      <w:r>
        <w:rPr>
          <w:spacing w:val="-10"/>
          <w:w w:val="105"/>
          <w:sz w:val="15"/>
        </w:rPr>
        <w:t xml:space="preserve"> </w:t>
      </w:r>
      <w:proofErr w:type="spellStart"/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поглибшання</w:t>
      </w:r>
      <w:proofErr w:type="spellEnd"/>
      <w:r>
        <w:rPr>
          <w:spacing w:val="-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нерівності</w:t>
      </w:r>
      <w:r>
        <w:rPr>
          <w:spacing w:val="-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між</w:t>
      </w:r>
      <w:r>
        <w:rPr>
          <w:spacing w:val="-10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розвиненими</w:t>
      </w:r>
      <w:r>
        <w:rPr>
          <w:spacing w:val="-9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країнами</w:t>
      </w:r>
      <w:r>
        <w:rPr>
          <w:spacing w:val="-10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й</w:t>
      </w:r>
      <w:r>
        <w:rPr>
          <w:spacing w:val="-38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такими,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що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розвиваються,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а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також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використання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ресурсів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менш</w:t>
      </w:r>
      <w:r>
        <w:rPr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розвинених</w:t>
      </w:r>
      <w:r>
        <w:rPr>
          <w:spacing w:val="1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країн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у</w:t>
      </w:r>
      <w:r>
        <w:rPr>
          <w:spacing w:val="-3"/>
          <w:w w:val="105"/>
          <w:sz w:val="15"/>
        </w:rPr>
        <w:t xml:space="preserve"> </w:t>
      </w:r>
      <w:proofErr w:type="spellStart"/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багатоцентрових</w:t>
      </w:r>
      <w:proofErr w:type="spellEnd"/>
      <w:r>
        <w:rPr>
          <w:spacing w:val="-3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дослідженнях</w:t>
      </w:r>
      <w:r>
        <w:rPr>
          <w:spacing w:val="-2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задля</w:t>
      </w:r>
      <w:r>
        <w:rPr>
          <w:spacing w:val="-4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блага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країн</w:t>
      </w:r>
      <w:r>
        <w:rPr>
          <w:spacing w:val="-4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більш</w:t>
      </w:r>
      <w:r>
        <w:rPr>
          <w:spacing w:val="-5"/>
          <w:w w:val="105"/>
          <w:sz w:val="15"/>
        </w:rPr>
        <w:t xml:space="preserve"> </w:t>
      </w:r>
      <w:r w:rsidRPr="00E014C4">
        <w:rPr>
          <w:w w:val="105"/>
          <w:sz w:val="15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розвинених).</w:t>
      </w:r>
    </w:p>
    <w:p w:rsidR="00E014C4" w:rsidRDefault="00E014C4" w:rsidP="00E014C4">
      <w:pPr>
        <w:pStyle w:val="a3"/>
        <w:spacing w:before="8"/>
        <w:rPr>
          <w:sz w:val="27"/>
        </w:rPr>
      </w:pPr>
    </w:p>
    <w:tbl>
      <w:tblPr>
        <w:tblStyle w:val="TableNormal"/>
        <w:tblW w:w="0" w:type="auto"/>
        <w:tblInd w:w="21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92"/>
        <w:gridCol w:w="2397"/>
        <w:gridCol w:w="2503"/>
      </w:tblGrid>
      <w:tr w:rsidR="00E014C4" w:rsidTr="00E36811">
        <w:trPr>
          <w:trHeight w:val="252"/>
        </w:trPr>
        <w:tc>
          <w:tcPr>
            <w:tcW w:w="1492" w:type="dxa"/>
            <w:tcBorders>
              <w:bottom w:val="single" w:sz="12" w:space="0" w:color="000000"/>
              <w:right w:val="single" w:sz="4" w:space="0" w:color="000000"/>
            </w:tcBorders>
            <w:shd w:val="clear" w:color="auto" w:fill="7B7B7B"/>
          </w:tcPr>
          <w:p w:rsidR="00E014C4" w:rsidRDefault="00E014C4" w:rsidP="00E36811">
            <w:pPr>
              <w:pStyle w:val="TableParagraph"/>
              <w:spacing w:before="26"/>
              <w:ind w:right="411"/>
              <w:jc w:val="righ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СЕКТОР</w:t>
            </w:r>
          </w:p>
        </w:tc>
        <w:tc>
          <w:tcPr>
            <w:tcW w:w="2397" w:type="dxa"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7B7B7B"/>
          </w:tcPr>
          <w:p w:rsidR="00E014C4" w:rsidRDefault="00E014C4" w:rsidP="00E36811">
            <w:pPr>
              <w:pStyle w:val="TableParagraph"/>
              <w:spacing w:before="26"/>
              <w:ind w:left="853" w:right="844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РИЗИКИ</w:t>
            </w:r>
          </w:p>
        </w:tc>
        <w:tc>
          <w:tcPr>
            <w:tcW w:w="2503" w:type="dxa"/>
            <w:tcBorders>
              <w:left w:val="single" w:sz="4" w:space="0" w:color="000000"/>
              <w:bottom w:val="single" w:sz="12" w:space="0" w:color="000000"/>
            </w:tcBorders>
            <w:shd w:val="clear" w:color="auto" w:fill="7B7B7B"/>
          </w:tcPr>
          <w:p w:rsidR="00E014C4" w:rsidRDefault="00E014C4" w:rsidP="00E36811">
            <w:pPr>
              <w:pStyle w:val="TableParagraph"/>
              <w:spacing w:before="26"/>
              <w:ind w:left="689"/>
              <w:jc w:val="lef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МОЖЛИВОСТІ</w:t>
            </w:r>
          </w:p>
        </w:tc>
      </w:tr>
      <w:tr w:rsidR="00E014C4" w:rsidTr="00E36811">
        <w:trPr>
          <w:trHeight w:val="2255"/>
        </w:trPr>
        <w:tc>
          <w:tcPr>
            <w:tcW w:w="1492" w:type="dxa"/>
            <w:tcBorders>
              <w:top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18" w:line="247" w:lineRule="auto"/>
              <w:ind w:left="61" w:right="78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Транспортування та</w:t>
            </w:r>
            <w:r>
              <w:rPr>
                <w:rFonts w:ascii="Microsoft Sans Serif" w:hAnsi="Microsoft Sans Serif"/>
                <w:spacing w:val="-3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аерокосмічний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сектор</w:t>
            </w:r>
          </w:p>
        </w:tc>
        <w:tc>
          <w:tcPr>
            <w:tcW w:w="239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18" w:line="247" w:lineRule="auto"/>
              <w:ind w:left="63" w:right="53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Автомобільний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ринок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зростає,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проте існує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суттєва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конкуренція з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боку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виробників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США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та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КНР.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Інші</w:t>
            </w:r>
            <w:r>
              <w:rPr>
                <w:rFonts w:ascii="Microsoft Sans Serif" w:hAnsi="Microsoft Sans Serif"/>
                <w:spacing w:val="-3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види</w:t>
            </w:r>
            <w:r>
              <w:rPr>
                <w:rFonts w:ascii="Microsoft Sans Serif" w:hAnsi="Microsoft Sans Serif"/>
                <w:spacing w:val="3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використання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нанотехнологій</w:t>
            </w:r>
            <w:r>
              <w:rPr>
                <w:rFonts w:ascii="Microsoft Sans Serif" w:hAnsi="Microsoft Sans Serif"/>
                <w:spacing w:val="3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у</w:t>
            </w:r>
            <w:r>
              <w:rPr>
                <w:rFonts w:ascii="Microsoft Sans Serif" w:hAnsi="Microsoft Sans Serif"/>
                <w:spacing w:val="37"/>
                <w:sz w:val="14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транспортувані</w:t>
            </w:r>
            <w:proofErr w:type="spellEnd"/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є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процесними,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часто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потребують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адаптації</w:t>
            </w:r>
            <w:r>
              <w:rPr>
                <w:rFonts w:ascii="Microsoft Sans Serif" w:hAnsi="Microsoft Sans Serif"/>
                <w:spacing w:val="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</w:t>
            </w:r>
            <w:r>
              <w:rPr>
                <w:rFonts w:ascii="Microsoft Sans Serif" w:hAnsi="Microsoft Sans Serif"/>
                <w:spacing w:val="8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боку</w:t>
            </w:r>
            <w:r>
              <w:rPr>
                <w:rFonts w:ascii="Microsoft Sans Serif" w:hAnsi="Microsoft Sans Serif"/>
                <w:spacing w:val="9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споживачів,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таким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чином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знижуючи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сприйняття.</w:t>
            </w:r>
            <w:r>
              <w:rPr>
                <w:rFonts w:ascii="Microsoft Sans Serif" w:hAnsi="Microsoft Sans Serif"/>
                <w:spacing w:val="-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Зокрема,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перехід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сталі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 xml:space="preserve">на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наноносичені</w:t>
            </w:r>
            <w:proofErr w:type="spellEnd"/>
            <w:r>
              <w:rPr>
                <w:rFonts w:ascii="Microsoft Sans Serif" w:hAnsi="Microsoft Sans Serif"/>
                <w:sz w:val="14"/>
              </w:rPr>
              <w:t xml:space="preserve"> композитні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матеріали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вимагатиме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екстенсивних змін у виробничому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обладнанні</w:t>
            </w:r>
          </w:p>
        </w:tc>
        <w:tc>
          <w:tcPr>
            <w:tcW w:w="250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18" w:line="247" w:lineRule="auto"/>
              <w:ind w:left="64" w:right="117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Основна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можливість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полягає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поліпшенні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акумуляторів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для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електромобілів;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чітка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відповідність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потребам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ринку,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державна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підтримка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й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наявна технологія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відіграють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суттєву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роль.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Інші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можливості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полягають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у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використанні</w:t>
            </w:r>
            <w:r>
              <w:rPr>
                <w:rFonts w:ascii="Microsoft Sans Serif" w:hAnsi="Microsoft Sans Serif"/>
                <w:spacing w:val="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нових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матеріалів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для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транспортних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засобів,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наприклад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перехід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компанією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Боінг</w:t>
            </w:r>
            <w:proofErr w:type="spellEnd"/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на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використання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композитних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матеріалів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у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787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Dreamliner</w:t>
            </w:r>
            <w:proofErr w:type="spellEnd"/>
          </w:p>
        </w:tc>
      </w:tr>
      <w:tr w:rsidR="00E014C4" w:rsidTr="00E36811">
        <w:trPr>
          <w:trHeight w:val="1171"/>
        </w:trPr>
        <w:tc>
          <w:tcPr>
            <w:tcW w:w="149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14C4" w:rsidRDefault="00E014C4" w:rsidP="00E36811">
            <w:pPr>
              <w:pStyle w:val="TableParagraph"/>
              <w:spacing w:before="29"/>
              <w:ind w:right="420"/>
              <w:jc w:val="right"/>
              <w:rPr>
                <w:rFonts w:ascii="Microsoft Sans Serif" w:hAnsi="Microsoft Sans Serif"/>
                <w:sz w:val="14"/>
              </w:rPr>
            </w:pPr>
            <w:proofErr w:type="spellStart"/>
            <w:r>
              <w:rPr>
                <w:rFonts w:ascii="Microsoft Sans Serif" w:hAnsi="Microsoft Sans Serif"/>
                <w:sz w:val="14"/>
              </w:rPr>
              <w:t>Наномедицина</w:t>
            </w:r>
            <w:proofErr w:type="spellEnd"/>
          </w:p>
        </w:tc>
        <w:tc>
          <w:tcPr>
            <w:tcW w:w="2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14C4" w:rsidRDefault="00E014C4" w:rsidP="00E36811">
            <w:pPr>
              <w:pStyle w:val="TableParagraph"/>
              <w:spacing w:before="28" w:line="247" w:lineRule="auto"/>
              <w:ind w:left="63" w:right="6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Процес</w:t>
            </w:r>
            <w:r>
              <w:rPr>
                <w:rFonts w:ascii="Microsoft Sans Serif" w:hAnsi="Microsoft Sans Serif"/>
                <w:spacing w:val="3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регуляторного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узгодження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є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достатньо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тривалим</w:t>
            </w:r>
            <w:r>
              <w:rPr>
                <w:rFonts w:ascii="Microsoft Sans Serif" w:hAnsi="Microsoft Sans Serif"/>
                <w:spacing w:val="-3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витратним,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що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обумовлює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зростання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необхідного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обсягу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інвестицій</w:t>
            </w:r>
          </w:p>
        </w:tc>
        <w:tc>
          <w:tcPr>
            <w:tcW w:w="2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E014C4" w:rsidRDefault="00E014C4" w:rsidP="00E36811">
            <w:pPr>
              <w:pStyle w:val="TableParagraph"/>
              <w:spacing w:before="28" w:line="247" w:lineRule="auto"/>
              <w:ind w:left="64" w:right="41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Вакцини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без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голки,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рання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діагностика раку та його покращене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лікування,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біоімплантанти</w:t>
            </w:r>
            <w:proofErr w:type="spellEnd"/>
            <w:r>
              <w:rPr>
                <w:rFonts w:ascii="Microsoft Sans Serif" w:hAnsi="Microsoft Sans Serif"/>
                <w:sz w:val="14"/>
              </w:rPr>
              <w:t>,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проактивне</w:t>
            </w:r>
            <w:proofErr w:type="spellEnd"/>
            <w:r>
              <w:rPr>
                <w:rFonts w:ascii="Microsoft Sans Serif" w:hAnsi="Microsoft Sans Serif"/>
                <w:sz w:val="14"/>
              </w:rPr>
              <w:t xml:space="preserve"> лікування ран. НДДКР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шляхом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злиття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й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поглинання</w:t>
            </w:r>
          </w:p>
        </w:tc>
      </w:tr>
    </w:tbl>
    <w:p w:rsidR="00E014C4" w:rsidRDefault="00E014C4" w:rsidP="00E014C4">
      <w:pPr>
        <w:spacing w:line="247" w:lineRule="auto"/>
        <w:rPr>
          <w:sz w:val="14"/>
        </w:rPr>
        <w:sectPr w:rsidR="00E014C4">
          <w:pgSz w:w="7920" w:h="12240"/>
          <w:pgMar w:top="1100" w:right="560" w:bottom="1040" w:left="560" w:header="0" w:footer="844" w:gutter="0"/>
          <w:cols w:space="720"/>
        </w:sectPr>
      </w:pPr>
    </w:p>
    <w:tbl>
      <w:tblPr>
        <w:tblStyle w:val="TableNormal"/>
        <w:tblW w:w="0" w:type="auto"/>
        <w:tblInd w:w="2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85"/>
        <w:gridCol w:w="2387"/>
        <w:gridCol w:w="2493"/>
      </w:tblGrid>
      <w:tr w:rsidR="00E014C4" w:rsidTr="00E36811">
        <w:trPr>
          <w:trHeight w:val="251"/>
        </w:trPr>
        <w:tc>
          <w:tcPr>
            <w:tcW w:w="1485" w:type="dxa"/>
            <w:tcBorders>
              <w:bottom w:val="single" w:sz="12" w:space="0" w:color="000000"/>
              <w:right w:val="single" w:sz="4" w:space="0" w:color="000000"/>
            </w:tcBorders>
            <w:shd w:val="clear" w:color="auto" w:fill="7B7B7B"/>
          </w:tcPr>
          <w:p w:rsidR="00E014C4" w:rsidRDefault="00E014C4" w:rsidP="00E36811">
            <w:pPr>
              <w:pStyle w:val="TableParagraph"/>
              <w:spacing w:before="22"/>
              <w:ind w:left="416"/>
              <w:jc w:val="lef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lastRenderedPageBreak/>
              <w:t>СЕКТОР</w:t>
            </w:r>
          </w:p>
        </w:tc>
        <w:tc>
          <w:tcPr>
            <w:tcW w:w="2387" w:type="dxa"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7B7B7B"/>
          </w:tcPr>
          <w:p w:rsidR="00E014C4" w:rsidRDefault="00E014C4" w:rsidP="00E36811">
            <w:pPr>
              <w:pStyle w:val="TableParagraph"/>
              <w:spacing w:before="22"/>
              <w:ind w:left="847" w:right="839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РИЗИКИ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12" w:space="0" w:color="000000"/>
            </w:tcBorders>
            <w:shd w:val="clear" w:color="auto" w:fill="7B7B7B"/>
          </w:tcPr>
          <w:p w:rsidR="00E014C4" w:rsidRDefault="00E014C4" w:rsidP="00E36811">
            <w:pPr>
              <w:pStyle w:val="TableParagraph"/>
              <w:spacing w:before="22"/>
              <w:ind w:left="685"/>
              <w:jc w:val="lef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МОЖЛИВОСТІ</w:t>
            </w:r>
          </w:p>
        </w:tc>
      </w:tr>
      <w:tr w:rsidR="00E014C4" w:rsidTr="00E36811">
        <w:trPr>
          <w:trHeight w:val="1571"/>
        </w:trPr>
        <w:tc>
          <w:tcPr>
            <w:tcW w:w="1485" w:type="dxa"/>
            <w:tcBorders>
              <w:top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14"/>
              <w:ind w:left="6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Електроніка</w:t>
            </w:r>
          </w:p>
        </w:tc>
        <w:tc>
          <w:tcPr>
            <w:tcW w:w="238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13" w:line="247" w:lineRule="auto"/>
              <w:ind w:left="63" w:right="376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Технології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мають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відповідати</w:t>
            </w:r>
            <w:r>
              <w:rPr>
                <w:rFonts w:ascii="Microsoft Sans Serif" w:hAnsi="Microsoft Sans Serif"/>
                <w:spacing w:val="-3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існуючим процесам, які вже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достатньо оптимізовані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й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відбивають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понесені</w:t>
            </w:r>
            <w:r>
              <w:rPr>
                <w:rFonts w:ascii="Microsoft Sans Serif" w:hAnsi="Microsoft Sans Serif"/>
                <w:spacing w:val="3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суттєві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витрати.</w:t>
            </w:r>
          </w:p>
          <w:p w:rsidR="00E014C4" w:rsidRDefault="00E014C4" w:rsidP="00E36811">
            <w:pPr>
              <w:pStyle w:val="TableParagraph"/>
              <w:spacing w:line="247" w:lineRule="auto"/>
              <w:ind w:left="63" w:right="82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Нові підходи мають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демонструвати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значне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pacing w:val="-1"/>
                <w:sz w:val="14"/>
              </w:rPr>
              <w:t>покращання</w:t>
            </w:r>
            <w:r>
              <w:rPr>
                <w:rFonts w:ascii="Microsoft Sans Serif" w:hAnsi="Microsoft Sans Serif"/>
                <w:spacing w:val="-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показників</w:t>
            </w:r>
            <w:r>
              <w:rPr>
                <w:rFonts w:ascii="Microsoft Sans Serif" w:hAnsi="Microsoft Sans Serif"/>
                <w:spacing w:val="-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порівняно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існуючими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рішеннями</w:t>
            </w:r>
          </w:p>
        </w:tc>
        <w:tc>
          <w:tcPr>
            <w:tcW w:w="24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13" w:line="247" w:lineRule="auto"/>
              <w:ind w:left="63" w:right="7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Подальше зменшення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обсягів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виробничих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циклів 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виробництв як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pacing w:val="-1"/>
                <w:sz w:val="14"/>
              </w:rPr>
              <w:t>таких.</w:t>
            </w:r>
            <w:r>
              <w:rPr>
                <w:rFonts w:ascii="Microsoft Sans Serif" w:hAnsi="Microsoft Sans Serif"/>
                <w:spacing w:val="-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pacing w:val="-1"/>
                <w:sz w:val="14"/>
              </w:rPr>
              <w:t>Декілька</w:t>
            </w:r>
            <w:r>
              <w:rPr>
                <w:rFonts w:ascii="Microsoft Sans Serif" w:hAnsi="Microsoft Sans Serif"/>
                <w:spacing w:val="-7"/>
                <w:sz w:val="14"/>
              </w:rPr>
              <w:t xml:space="preserve"> </w:t>
            </w:r>
            <w:r>
              <w:rPr>
                <w:rFonts w:ascii="Microsoft Sans Serif" w:hAnsi="Microsoft Sans Serif"/>
                <w:spacing w:val="-1"/>
                <w:sz w:val="14"/>
              </w:rPr>
              <w:t>венчурних</w:t>
            </w:r>
            <w:r>
              <w:rPr>
                <w:rFonts w:ascii="Microsoft Sans Serif" w:hAnsi="Microsoft Sans Serif"/>
                <w:spacing w:val="-6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компаній</w:t>
            </w:r>
            <w:r>
              <w:rPr>
                <w:rFonts w:ascii="Microsoft Sans Serif" w:hAnsi="Microsoft Sans Serif"/>
                <w:spacing w:val="-3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активний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продаж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на ринку</w:t>
            </w:r>
          </w:p>
        </w:tc>
      </w:tr>
      <w:tr w:rsidR="00E014C4" w:rsidTr="00E36811">
        <w:trPr>
          <w:trHeight w:val="732"/>
        </w:trPr>
        <w:tc>
          <w:tcPr>
            <w:tcW w:w="148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14C4" w:rsidRDefault="00E014C4" w:rsidP="00E36811">
            <w:pPr>
              <w:pStyle w:val="TableParagraph"/>
              <w:spacing w:before="24"/>
              <w:ind w:left="6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Енергетика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014C4" w:rsidRDefault="00E014C4" w:rsidP="00E36811">
            <w:pPr>
              <w:pStyle w:val="TableParagraph"/>
              <w:spacing w:before="23" w:line="247" w:lineRule="auto"/>
              <w:ind w:left="63" w:right="66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Значна конкуренція з боку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фотоелементів,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які</w:t>
            </w:r>
            <w:r>
              <w:rPr>
                <w:rFonts w:ascii="Microsoft Sans Serif" w:hAnsi="Microsoft Sans Serif"/>
                <w:spacing w:val="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виробляються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Азії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E014C4" w:rsidRDefault="00E014C4" w:rsidP="00E36811">
            <w:pPr>
              <w:pStyle w:val="TableParagraph"/>
              <w:spacing w:before="23" w:line="247" w:lineRule="auto"/>
              <w:ind w:left="63" w:right="593" w:hanging="1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Каталізатори у біопаливі та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викопному паливі, а також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фотоелементи, зокрема, у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сонячних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z w:val="14"/>
              </w:rPr>
              <w:t>батареях</w:t>
            </w:r>
            <w:proofErr w:type="spellEnd"/>
          </w:p>
        </w:tc>
      </w:tr>
      <w:tr w:rsidR="00E014C4" w:rsidTr="00E36811">
        <w:trPr>
          <w:trHeight w:val="935"/>
        </w:trPr>
        <w:tc>
          <w:tcPr>
            <w:tcW w:w="148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24"/>
              <w:ind w:left="6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Матеріали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23" w:line="247" w:lineRule="auto"/>
              <w:ind w:left="63" w:right="18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Повинні мати чітке призначення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(наприклад, для акумуляторів).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Як правило, процесні інновації з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великим ризиком сприйняття з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боку споживачів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23" w:line="247" w:lineRule="auto"/>
              <w:ind w:left="63" w:right="54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Великий потенціал різноманітних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сфер</w:t>
            </w:r>
            <w:r>
              <w:rPr>
                <w:rFonts w:ascii="Microsoft Sans Serif" w:hAnsi="Microsoft Sans Serif"/>
                <w:spacing w:val="-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застосування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(від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автомобілів</w:t>
            </w:r>
            <w:r>
              <w:rPr>
                <w:rFonts w:ascii="Microsoft Sans Serif" w:hAnsi="Microsoft Sans Serif"/>
                <w:spacing w:val="-3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до електроніки)</w:t>
            </w:r>
          </w:p>
        </w:tc>
      </w:tr>
      <w:tr w:rsidR="00E014C4" w:rsidTr="00E36811">
        <w:trPr>
          <w:trHeight w:val="1057"/>
        </w:trPr>
        <w:tc>
          <w:tcPr>
            <w:tcW w:w="148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24" w:line="247" w:lineRule="auto"/>
              <w:ind w:left="60" w:right="72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Громадське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харчування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й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pacing w:val="-1"/>
                <w:sz w:val="14"/>
              </w:rPr>
              <w:t>пакування</w:t>
            </w:r>
            <w:r>
              <w:rPr>
                <w:rFonts w:ascii="Microsoft Sans Serif" w:hAnsi="Microsoft Sans Serif"/>
                <w:spacing w:val="-4"/>
                <w:sz w:val="14"/>
              </w:rPr>
              <w:t xml:space="preserve"> </w:t>
            </w:r>
            <w:r>
              <w:rPr>
                <w:rFonts w:ascii="Microsoft Sans Serif" w:hAnsi="Microsoft Sans Serif"/>
                <w:spacing w:val="-1"/>
                <w:sz w:val="14"/>
              </w:rPr>
              <w:t>продуктів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24" w:line="247" w:lineRule="auto"/>
              <w:ind w:left="63" w:right="60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Ризик сприйняття покупцями й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інвесторами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як генетично-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модифіковані підходи до процесів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у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цьому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секторі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1E1E1"/>
          </w:tcPr>
          <w:p w:rsidR="00E014C4" w:rsidRDefault="00E014C4" w:rsidP="00E36811">
            <w:pPr>
              <w:pStyle w:val="TableParagraph"/>
              <w:spacing w:before="24" w:line="247" w:lineRule="auto"/>
              <w:ind w:left="63" w:right="109"/>
              <w:jc w:val="left"/>
              <w:rPr>
                <w:rFonts w:ascii="Microsoft Sans Serif" w:hAnsi="Microsoft Sans Serif"/>
                <w:sz w:val="14"/>
              </w:rPr>
            </w:pPr>
            <w:r>
              <w:rPr>
                <w:rFonts w:ascii="Microsoft Sans Serif" w:hAnsi="Microsoft Sans Serif"/>
                <w:sz w:val="14"/>
              </w:rPr>
              <w:t>Потенційними споживачами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виступають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мережі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гуртової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торгівлі.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Створює</w:t>
            </w:r>
            <w:r>
              <w:rPr>
                <w:rFonts w:ascii="Microsoft Sans Serif" w:hAnsi="Microsoft Sans Serif"/>
                <w:spacing w:val="2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додаткові</w:t>
            </w:r>
            <w:r>
              <w:rPr>
                <w:rFonts w:ascii="Microsoft Sans Serif" w:hAnsi="Microsoft Sans Serif"/>
                <w:spacing w:val="1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можливості для нанотехнологічних</w:t>
            </w:r>
            <w:r>
              <w:rPr>
                <w:rFonts w:ascii="Microsoft Sans Serif" w:hAnsi="Microsoft Sans Serif"/>
                <w:spacing w:val="-35"/>
                <w:sz w:val="14"/>
              </w:rPr>
              <w:t xml:space="preserve"> </w:t>
            </w:r>
            <w:r>
              <w:rPr>
                <w:rFonts w:ascii="Microsoft Sans Serif" w:hAnsi="Microsoft Sans Serif"/>
                <w:sz w:val="14"/>
              </w:rPr>
              <w:t>інновацій</w:t>
            </w:r>
          </w:p>
        </w:tc>
      </w:tr>
    </w:tbl>
    <w:p w:rsidR="00032B3F" w:rsidRDefault="00032B3F"/>
    <w:p/>
    <w:p>
      <w:r>
        <w:rPr>
          <w:b/>
          <w:sz w:val="26"/>
        </w:rPr>
        <w:t>Моя участь в обговоренні: оцінка ризиків інвестування в нанотехнології</w:t>
      </w:r>
    </w:p>
    <w:p>
      <w:r>
        <w:t>Нанотехнології — приклад напряму з величезним потенціалом, але й з нетиповим профілем ризиків, тож і підходити до оцінки інвестицій у них треба обережніше, ніж до традиційних галузей. Спираючись на наведені в завданні особливості та секторальний аналіз, я б згрупував ризики у кілька рівнів.</w:t>
      </w:r>
    </w:p>
    <w:p>
      <w:r>
        <w:rPr>
          <w:b/>
          <w:sz w:val="26"/>
        </w:rPr>
        <w:t>Специфічні (етичні та системні) ризики</w:t>
      </w:r>
    </w:p>
    <w:p>
      <w:r>
        <w:t>Найперше, що відрізняє нанотехнології, — це ризики, які випливають із самої їхньої природи. Невидимість ускладнює контроль за застосуванням; надзвичайно швидкий розвиток не дає вчасно виявляти й реагувати на віддалені наслідки; можливість застосування в безпеці та обороні створює загрозу правам людини; глобальне значення означає вплив навіть на ті країни, що не брали участі в розробленні. Окремо стоїть проблема «нано-розділу» — поглиблення нерівності між розвиненими країнами й тими, що розвиваються. Для інвестора це означає підвищені регуляторні, репутаційні та довгострокові ризики, які важко оцінити стандартними фінансовими методами.</w:t>
      </w:r>
    </w:p>
    <w:p>
      <w:r>
        <w:rPr>
          <w:b/>
          <w:sz w:val="26"/>
        </w:rPr>
        <w:t>Секторальні ризики та можливості</w:t>
      </w:r>
    </w:p>
    <w:p>
      <w:r>
        <w:t>Якщо подивитися на наведені таблиці, видно, що співвідношення «ризик – можливість» сильно залежить від сектора. У транспорті й аерокосмічній галузі головний ризик — це жорстка конкуренція (США, КНР) та опір споживачів процесним змінам, бо перехід зі сталі на нанокомпозити вимагає докорінної перебудови обладнання; але водночас тут є чітка ринкова потреба — поліпшені акумулятори для електромобілів і нові матеріали (приклад — композити в Boeing 787 Dreamliner). У наномедицині ризик іншого роду — тривале й витратне регуляторне узгодження, що піднімає поріг інвестицій, проте можливості вражають: безголкові вакцини, рання діагностика й лікування раку, біоімплантати.</w:t>
      </w:r>
    </w:p>
    <w:p>
      <w:r>
        <w:t>В електроніці нові рішення мусять переважати вже глибоко оптимізовані наявні процеси, інакше їх не приймуть; в енергетиці тисне азійська конкуренція у фотоелементах, хоча перспективні каталізатори й сонячні батареї. Для нових матеріалів критично важливе чітке призначення, а в харчуванні й пакуванні головний ризик радше психологічний — сприйняття споживачами нанопідходів як «генетично модифікованих». Отже, у більшості секторів ризик пов’язаний не стільки з технологією, скільки зі сприйняттям ринку, конкуренцією і регуляцією.</w:t>
      </w:r>
    </w:p>
    <w:p>
      <w:r>
        <w:rPr>
          <w:b/>
          <w:sz w:val="26"/>
        </w:rPr>
        <w:t>Висновок щодо оцінки інвестицій</w:t>
      </w:r>
    </w:p>
    <w:p>
      <w:r>
        <w:t>Мій висновок у дискусії такий: оцінюючи інвестиції в нанотехнології, не можна обмежуватися класичними фінансовими показниками ефективності — їх обов’язково треба доповнювати оцінкою регуляторних, етичних і репутаційних ризиків та готовності ринку прийняти інновацію. Найпривабливішими для вкладення я б вважав ті сегменти, де збігаються три умови: чітка ринкова потреба, наявна доведена технологія й державна підтримка (як у випадку акумуляторів для електромобілів чи наномедицини). А там, де переважають невизначеність, опір споживачів і тривале регулювання, інвестувати варто поетапно, контролюючи проміжні результати, — саме так, як це робиться з високоризиковими інноваційними проєктами загалом.</w:t>
      </w:r>
    </w:p>
    <w:sectPr w:rsidR="00032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E040D3"/>
    <w:multiLevelType w:val="hybridMultilevel"/>
    <w:tmpl w:val="311ED5AE"/>
    <w:lvl w:ilvl="0" w:tplc="EB024CF8">
      <w:numFmt w:val="bullet"/>
      <w:lvlText w:val="•"/>
      <w:lvlJc w:val="left"/>
      <w:pPr>
        <w:ind w:left="685" w:hanging="398"/>
      </w:pPr>
      <w:rPr>
        <w:rFonts w:hint="default"/>
        <w:shadow/>
        <w:w w:val="105"/>
        <w:lang w:val="uk-UA" w:eastAsia="en-US" w:bidi="ar-SA"/>
      </w:rPr>
    </w:lvl>
    <w:lvl w:ilvl="1" w:tplc="34A2B106">
      <w:numFmt w:val="bullet"/>
      <w:lvlText w:val="•"/>
      <w:lvlJc w:val="left"/>
      <w:pPr>
        <w:ind w:left="832" w:hanging="240"/>
      </w:pPr>
      <w:rPr>
        <w:rFonts w:hint="default"/>
        <w:w w:val="99"/>
        <w:lang w:val="uk-UA" w:eastAsia="en-US" w:bidi="ar-SA"/>
      </w:rPr>
    </w:lvl>
    <w:lvl w:ilvl="2" w:tplc="A0A08B0E">
      <w:numFmt w:val="bullet"/>
      <w:lvlText w:val="•"/>
      <w:lvlJc w:val="left"/>
      <w:pPr>
        <w:ind w:left="700" w:hanging="240"/>
      </w:pPr>
      <w:rPr>
        <w:rFonts w:hint="default"/>
        <w:lang w:val="uk-UA" w:eastAsia="en-US" w:bidi="ar-SA"/>
      </w:rPr>
    </w:lvl>
    <w:lvl w:ilvl="3" w:tplc="FB56CCDC">
      <w:numFmt w:val="bullet"/>
      <w:lvlText w:val="•"/>
      <w:lvlJc w:val="left"/>
      <w:pPr>
        <w:ind w:left="840" w:hanging="240"/>
      </w:pPr>
      <w:rPr>
        <w:rFonts w:hint="default"/>
        <w:lang w:val="uk-UA" w:eastAsia="en-US" w:bidi="ar-SA"/>
      </w:rPr>
    </w:lvl>
    <w:lvl w:ilvl="4" w:tplc="9EC8E168">
      <w:numFmt w:val="bullet"/>
      <w:lvlText w:val="•"/>
      <w:lvlJc w:val="left"/>
      <w:pPr>
        <w:ind w:left="1600" w:hanging="240"/>
      </w:pPr>
      <w:rPr>
        <w:rFonts w:hint="default"/>
        <w:lang w:val="uk-UA" w:eastAsia="en-US" w:bidi="ar-SA"/>
      </w:rPr>
    </w:lvl>
    <w:lvl w:ilvl="5" w:tplc="DA9C21B6">
      <w:numFmt w:val="bullet"/>
      <w:lvlText w:val="•"/>
      <w:lvlJc w:val="left"/>
      <w:pPr>
        <w:ind w:left="2093" w:hanging="240"/>
      </w:pPr>
      <w:rPr>
        <w:rFonts w:hint="default"/>
        <w:lang w:val="uk-UA" w:eastAsia="en-US" w:bidi="ar-SA"/>
      </w:rPr>
    </w:lvl>
    <w:lvl w:ilvl="6" w:tplc="8A8232B8">
      <w:numFmt w:val="bullet"/>
      <w:lvlText w:val="•"/>
      <w:lvlJc w:val="left"/>
      <w:pPr>
        <w:ind w:left="2586" w:hanging="240"/>
      </w:pPr>
      <w:rPr>
        <w:rFonts w:hint="default"/>
        <w:lang w:val="uk-UA" w:eastAsia="en-US" w:bidi="ar-SA"/>
      </w:rPr>
    </w:lvl>
    <w:lvl w:ilvl="7" w:tplc="46827BC8">
      <w:numFmt w:val="bullet"/>
      <w:lvlText w:val="•"/>
      <w:lvlJc w:val="left"/>
      <w:pPr>
        <w:ind w:left="3079" w:hanging="240"/>
      </w:pPr>
      <w:rPr>
        <w:rFonts w:hint="default"/>
        <w:lang w:val="uk-UA" w:eastAsia="en-US" w:bidi="ar-SA"/>
      </w:rPr>
    </w:lvl>
    <w:lvl w:ilvl="8" w:tplc="4080D1B4">
      <w:numFmt w:val="bullet"/>
      <w:lvlText w:val="•"/>
      <w:lvlJc w:val="left"/>
      <w:pPr>
        <w:ind w:left="3573" w:hanging="240"/>
      </w:pPr>
      <w:rPr>
        <w:rFonts w:hint="default"/>
        <w:lang w:val="uk-UA" w:eastAsia="en-US" w:bidi="ar-SA"/>
      </w:rPr>
    </w:lvl>
  </w:abstractNum>
  <w:num w:numId="1" w16cid:durableId="1124884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4C4"/>
    <w:rsid w:val="00032B3F"/>
    <w:rsid w:val="00E01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0A7F7B0-76CA-4C69-B580-581C492E8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4C4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uk-UA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E014C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E014C4"/>
    <w:rPr>
      <w:sz w:val="17"/>
      <w:szCs w:val="17"/>
    </w:rPr>
  </w:style>
  <w:style w:type="character" w:customStyle="1" w:styleId="a4">
    <w:name w:val="Основной текст Знак"/>
    <w:basedOn w:val="a0"/>
    <w:link w:val="a3"/>
    <w:uiPriority w:val="1"/>
    <w:rsid w:val="00E014C4"/>
    <w:rPr>
      <w:rFonts w:ascii="Microsoft Sans Serif" w:eastAsia="Microsoft Sans Serif" w:hAnsi="Microsoft Sans Serif" w:cs="Microsoft Sans Serif"/>
      <w:kern w:val="0"/>
      <w:sz w:val="17"/>
      <w:szCs w:val="17"/>
      <w:lang w:val="uk-UA"/>
      <w14:ligatures w14:val="none"/>
    </w:rPr>
  </w:style>
  <w:style w:type="paragraph" w:styleId="a5">
    <w:name w:val="List Paragraph"/>
    <w:basedOn w:val="a"/>
    <w:uiPriority w:val="1"/>
    <w:qFormat/>
    <w:rsid w:val="00E014C4"/>
    <w:pPr>
      <w:ind w:left="147" w:firstLine="301"/>
    </w:pPr>
  </w:style>
  <w:style w:type="paragraph" w:customStyle="1" w:styleId="TableParagraph">
    <w:name w:val="Table Paragraph"/>
    <w:basedOn w:val="a"/>
    <w:uiPriority w:val="1"/>
    <w:qFormat/>
    <w:rsid w:val="00E014C4"/>
    <w:pPr>
      <w:jc w:val="center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431</Words>
  <Characters>2463</Characters>
  <Application>Microsoft Office Word</Application>
  <DocSecurity>0</DocSecurity>
  <Lines>20</Lines>
  <Paragraphs>5</Paragraphs>
  <ScaleCrop>false</ScaleCrop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legion noutbuk</cp:lastModifiedBy>
  <cp:revision>1</cp:revision>
  <dcterms:created xsi:type="dcterms:W3CDTF">2023-04-20T04:55:00Z</dcterms:created>
  <dcterms:modified xsi:type="dcterms:W3CDTF">2023-04-20T04:55:00Z</dcterms:modified>
</cp:coreProperties>
</file>