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14C4" w:rsidRDefault="00E014C4" w:rsidP="00E014C4">
      <w:pPr>
        <w:spacing w:line="211" w:lineRule="auto"/>
        <w:ind w:left="1058" w:right="10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Обговорення: «Оцінка ризиків інвестування</w:t>
      </w:r>
      <w:r>
        <w:rPr>
          <w:rFonts w:ascii="Times New Roman" w:hAnsi="Times New Roman"/>
          <w:b/>
          <w:spacing w:val="-55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/>
          <w:spacing w:val="-1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нанотехнології»</w:t>
      </w:r>
    </w:p>
    <w:p w:rsidR="00E014C4" w:rsidRDefault="00E014C4" w:rsidP="00E014C4">
      <w:pPr>
        <w:pStyle w:val="a3"/>
        <w:rPr>
          <w:rFonts w:ascii="Times New Roman"/>
          <w:b/>
          <w:sz w:val="24"/>
        </w:rPr>
      </w:pPr>
    </w:p>
    <w:p w:rsidR="00E014C4" w:rsidRDefault="00E014C4" w:rsidP="00E014C4">
      <w:pPr>
        <w:spacing w:line="249" w:lineRule="auto"/>
        <w:ind w:left="160" w:right="159"/>
        <w:jc w:val="center"/>
        <w:rPr>
          <w:sz w:val="24"/>
        </w:rPr>
      </w:pP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Особливостями</w:t>
      </w:r>
      <w:r>
        <w:rPr>
          <w:spacing w:val="27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нанотехнологій,</w:t>
      </w:r>
      <w:r>
        <w:rPr>
          <w:spacing w:val="28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</w:t>
      </w:r>
      <w:r>
        <w:rPr>
          <w:spacing w:val="30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породжують</w:t>
      </w:r>
      <w:r>
        <w:rPr>
          <w:spacing w:val="-61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специфічні</w:t>
      </w:r>
      <w:r>
        <w:rPr>
          <w:spacing w:val="4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етичні</w:t>
      </w:r>
      <w:r>
        <w:rPr>
          <w:spacing w:val="6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питання: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0" w:line="249" w:lineRule="auto"/>
        <w:ind w:right="629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Невидимість</w:t>
      </w:r>
      <w:r>
        <w:rPr>
          <w:rFonts w:ascii="Arial" w:hAnsi="Arial"/>
          <w:b/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робить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застосування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</w:t>
      </w:r>
      <w:r>
        <w:rPr>
          <w:spacing w:val="-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доволі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важким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для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контролювання);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" w:line="249" w:lineRule="auto"/>
        <w:ind w:right="358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Швидкий</w:t>
      </w:r>
      <w:r>
        <w:rPr>
          <w:rFonts w:ascii="Arial" w:hAnsi="Arial"/>
          <w:b/>
          <w:spacing w:val="-8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розвиток</w:t>
      </w:r>
      <w:r>
        <w:rPr>
          <w:rFonts w:ascii="Arial" w:hAnsi="Arial"/>
          <w:b/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робить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складним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оперативне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виявлення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і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реагування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щодо</w:t>
      </w:r>
      <w:r>
        <w:rPr>
          <w:spacing w:val="-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потенційних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ризиків,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особливо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далекоглядних);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5" w:line="249" w:lineRule="auto"/>
        <w:ind w:right="687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Можливість</w:t>
      </w:r>
      <w:r>
        <w:rPr>
          <w:rFonts w:ascii="Arial" w:hAnsi="Arial"/>
          <w:b/>
          <w:spacing w:val="-5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застосування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цілях</w:t>
      </w:r>
      <w:r>
        <w:rPr>
          <w:rFonts w:ascii="Arial" w:hAnsi="Arial"/>
          <w:b/>
          <w:spacing w:val="-6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безпеки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</w:t>
      </w:r>
      <w:r>
        <w:rPr>
          <w:rFonts w:ascii="Arial" w:hAnsi="Arial"/>
          <w:b/>
          <w:spacing w:val="-5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оборони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може</w:t>
      </w:r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стати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потенційною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загрозою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для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прав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людини);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" w:line="249" w:lineRule="auto"/>
        <w:ind w:right="388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Глобальне</w:t>
      </w:r>
      <w:r>
        <w:rPr>
          <w:rFonts w:ascii="Arial" w:hAnsi="Arial"/>
          <w:b/>
          <w:spacing w:val="-8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значення</w:t>
      </w:r>
      <w:r>
        <w:rPr>
          <w:rFonts w:ascii="Arial" w:hAnsi="Arial"/>
          <w:b/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(потенційний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вплив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країни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і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суспільства,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навіть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якщо</w:t>
      </w:r>
      <w:r>
        <w:rPr>
          <w:spacing w:val="-3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ті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брали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участь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</w:t>
      </w:r>
      <w:r>
        <w:rPr>
          <w:spacing w:val="2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розробленні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6" w:line="252" w:lineRule="auto"/>
        <w:ind w:right="325"/>
        <w:rPr>
          <w:sz w:val="14"/>
        </w:rPr>
      </w:pPr>
      <w:proofErr w:type="spellStart"/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</w:t>
      </w:r>
      <w:proofErr w:type="spellEnd"/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-розділ</w:t>
      </w:r>
      <w:r>
        <w:rPr>
          <w:rFonts w:ascii="Arial" w:hAnsi="Arial"/>
          <w:b/>
          <w:spacing w:val="-1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(потенційне</w:t>
      </w:r>
      <w:r>
        <w:rPr>
          <w:spacing w:val="-10"/>
          <w:w w:val="105"/>
          <w:sz w:val="15"/>
        </w:rPr>
        <w:t xml:space="preserve"> </w:t>
      </w:r>
      <w:proofErr w:type="spellStart"/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поглибшання</w:t>
      </w:r>
      <w:proofErr w:type="spellEnd"/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нерівності</w:t>
      </w:r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між</w:t>
      </w:r>
      <w:r>
        <w:rPr>
          <w:spacing w:val="-10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розвиненими</w:t>
      </w:r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країнами</w:t>
      </w:r>
      <w:r>
        <w:rPr>
          <w:spacing w:val="-10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й</w:t>
      </w:r>
      <w:r>
        <w:rPr>
          <w:spacing w:val="-3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такими,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розвиваються,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а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також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використання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ресурсів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менш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розвинених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</w:t>
      </w:r>
      <w:r>
        <w:rPr>
          <w:spacing w:val="-3"/>
          <w:w w:val="105"/>
          <w:sz w:val="15"/>
        </w:rPr>
        <w:t xml:space="preserve"> </w:t>
      </w:r>
      <w:proofErr w:type="spellStart"/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багатоцентрових</w:t>
      </w:r>
      <w:proofErr w:type="spellEnd"/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дослідженнях</w:t>
      </w:r>
      <w:r>
        <w:rPr>
          <w:spacing w:val="-2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задля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блага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більш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розвинених).</w:t>
      </w:r>
    </w:p>
    <w:p w:rsidR="00E014C4" w:rsidRDefault="00E014C4" w:rsidP="00E014C4">
      <w:pPr>
        <w:pStyle w:val="a3"/>
        <w:spacing w:before="8"/>
        <w:rPr>
          <w:sz w:val="27"/>
        </w:rPr>
      </w:pPr>
    </w:p>
    <w:tbl>
      <w:tblPr>
        <w:tblStyle w:val="TableNormal"/>
        <w:tblW w:w="0" w:type="auto"/>
        <w:tblInd w:w="2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92"/>
        <w:gridCol w:w="2397"/>
        <w:gridCol w:w="2503"/>
      </w:tblGrid>
      <w:tr w:rsidR="00E014C4" w:rsidTr="00E36811">
        <w:trPr>
          <w:trHeight w:val="252"/>
        </w:trPr>
        <w:tc>
          <w:tcPr>
            <w:tcW w:w="1492" w:type="dxa"/>
            <w:tcBorders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right="411"/>
              <w:jc w:val="righ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СЕКТОР</w:t>
            </w:r>
          </w:p>
        </w:tc>
        <w:tc>
          <w:tcPr>
            <w:tcW w:w="2397" w:type="dxa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left="853" w:right="844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РИЗИКИ</w:t>
            </w:r>
          </w:p>
        </w:tc>
        <w:tc>
          <w:tcPr>
            <w:tcW w:w="2503" w:type="dxa"/>
            <w:tcBorders>
              <w:left w:val="single" w:sz="4" w:space="0" w:color="000000"/>
              <w:bottom w:val="single" w:sz="12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left="689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МОЖЛИВОСТІ</w:t>
            </w:r>
          </w:p>
        </w:tc>
      </w:tr>
      <w:tr w:rsidR="00E014C4" w:rsidTr="00E36811">
        <w:trPr>
          <w:trHeight w:val="2255"/>
        </w:trPr>
        <w:tc>
          <w:tcPr>
            <w:tcW w:w="1492" w:type="dxa"/>
            <w:tcBorders>
              <w:top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1" w:right="78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Транспортування та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аерокосмічний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сектор</w:t>
            </w:r>
          </w:p>
        </w:tc>
        <w:tc>
          <w:tcPr>
            <w:tcW w:w="23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3" w:right="53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Автомобільний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ринок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зростає,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проте існує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конкуренція 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виробників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США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КНР.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Інші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види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нанотехнологій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транспортувані</w:t>
            </w:r>
            <w:proofErr w:type="spellEnd"/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є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процесними,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часто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потребують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адаптації</w:t>
            </w:r>
            <w:r>
              <w:rPr>
                <w:rFonts w:ascii="Microsoft Sans Serif" w:hAnsi="Microsoft Sans Serif"/>
                <w:spacing w:val="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</w:t>
            </w:r>
            <w:r>
              <w:rPr>
                <w:rFonts w:ascii="Microsoft Sans Serif" w:hAnsi="Microsoft Sans Serif"/>
                <w:spacing w:val="8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</w:t>
            </w:r>
            <w:r>
              <w:rPr>
                <w:rFonts w:ascii="Microsoft Sans Serif" w:hAnsi="Microsoft Sans Serif"/>
                <w:spacing w:val="9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споживачів,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таким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чином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знижуючи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сприйняття.</w:t>
            </w:r>
            <w:r>
              <w:rPr>
                <w:rFonts w:ascii="Microsoft Sans Serif" w:hAnsi="Microsoft Sans Serif"/>
                <w:spacing w:val="-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Зокрема,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перехід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сталі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 xml:space="preserve">на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наноносичені</w:t>
            </w:r>
            <w:proofErr w:type="spellEnd"/>
            <w:r>
              <w:rPr>
                <w:rFonts w:ascii="Microsoft Sans Serif" w:hAnsi="Microsoft Sans Serif"/>
                <w:sz w:val="14"/>
              </w:rPr>
              <w:t xml:space="preserve"> композитні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вимагатиме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екстенсивних змін у виробничому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обладнанні</w:t>
            </w:r>
          </w:p>
        </w:tc>
        <w:tc>
          <w:tcPr>
            <w:tcW w:w="250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4" w:right="117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Основна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можливість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полягає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поліпшенні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акумуляторів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для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електромобілів;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чітка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відповідність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потребам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ринку,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державна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підтримка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наявна технологія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відіграють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суттєву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роль.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Інші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можливості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полягають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використанні</w:t>
            </w:r>
            <w:r>
              <w:rPr>
                <w:rFonts w:ascii="Microsoft Sans Serif" w:hAnsi="Microsoft Sans Serif"/>
                <w:spacing w:val="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нових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матеріалів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для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транспортних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засобів,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наприклад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перехід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компанією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Боінг</w:t>
            </w:r>
            <w:proofErr w:type="spellEnd"/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композитних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матеріалів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787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Dreamliner</w:t>
            </w:r>
            <w:proofErr w:type="spellEnd"/>
          </w:p>
        </w:tc>
      </w:tr>
      <w:tr w:rsidR="00E014C4" w:rsidTr="00E36811">
        <w:trPr>
          <w:trHeight w:val="1171"/>
        </w:trPr>
        <w:tc>
          <w:tcPr>
            <w:tcW w:w="149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9"/>
              <w:ind w:right="420"/>
              <w:jc w:val="right"/>
              <w:rPr>
                <w:rFonts w:ascii="Microsoft Sans Serif" w:hAnsi="Microsoft Sans Serif"/>
                <w:sz w:val="14"/>
              </w:rPr>
            </w:pPr>
            <w:proofErr w:type="spellStart"/>
            <w:r>
              <w:rPr>
                <w:rFonts w:ascii="Microsoft Sans Serif" w:hAnsi="Microsoft Sans Serif"/>
                <w:sz w:val="14"/>
              </w:rPr>
              <w:t>Наномедицина</w:t>
            </w:r>
            <w:proofErr w:type="spellEnd"/>
          </w:p>
        </w:tc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8" w:line="247" w:lineRule="auto"/>
              <w:ind w:left="63" w:righ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Процес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регуляторного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узгодження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є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достатньо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тривалим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витратним,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що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обумовлює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зростання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необхідного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обсягу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інвестицій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8" w:line="247" w:lineRule="auto"/>
              <w:ind w:left="64" w:right="41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Вакцини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без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голки,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рання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діагностика раку та його покращене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лікування,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біоімплантанти</w:t>
            </w:r>
            <w:proofErr w:type="spellEnd"/>
            <w:r>
              <w:rPr>
                <w:rFonts w:ascii="Microsoft Sans Serif" w:hAnsi="Microsoft Sans Serif"/>
                <w:sz w:val="14"/>
              </w:rPr>
              <w:t>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проактивне</w:t>
            </w:r>
            <w:proofErr w:type="spellEnd"/>
            <w:r>
              <w:rPr>
                <w:rFonts w:ascii="Microsoft Sans Serif" w:hAnsi="Microsoft Sans Serif"/>
                <w:sz w:val="14"/>
              </w:rPr>
              <w:t xml:space="preserve"> лікування ран. НДДКР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шляхом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злиття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поглинання</w:t>
            </w:r>
          </w:p>
        </w:tc>
      </w:tr>
    </w:tbl>
    <w:p w:rsidR="00E014C4" w:rsidRDefault="00E014C4" w:rsidP="00E014C4">
      <w:pPr>
        <w:spacing w:line="247" w:lineRule="auto"/>
        <w:rPr>
          <w:sz w:val="14"/>
        </w:rPr>
        <w:sectPr w:rsidR="00E014C4">
          <w:pgSz w:w="7920" w:h="12240"/>
          <w:pgMar w:top="1100" w:right="560" w:bottom="1040" w:left="560" w:header="0" w:footer="844" w:gutter="0"/>
          <w:cols w:space="720"/>
        </w:sectPr>
      </w:pPr>
    </w:p>
    <w:tbl>
      <w:tblPr>
        <w:tblStyle w:val="TableNormal"/>
        <w:tblW w:w="0" w:type="auto"/>
        <w:tblInd w:w="2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85"/>
        <w:gridCol w:w="2387"/>
        <w:gridCol w:w="2493"/>
      </w:tblGrid>
      <w:tr w:rsidR="00E014C4" w:rsidTr="00E36811">
        <w:trPr>
          <w:trHeight w:val="251"/>
        </w:trPr>
        <w:tc>
          <w:tcPr>
            <w:tcW w:w="1485" w:type="dxa"/>
            <w:tcBorders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416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lastRenderedPageBreak/>
              <w:t>СЕКТОР</w:t>
            </w:r>
          </w:p>
        </w:tc>
        <w:tc>
          <w:tcPr>
            <w:tcW w:w="2387" w:type="dxa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847" w:right="83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РИЗИКИ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12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685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МОЖЛИВОСТІ</w:t>
            </w:r>
          </w:p>
        </w:tc>
      </w:tr>
      <w:tr w:rsidR="00E014C4" w:rsidTr="00E36811">
        <w:trPr>
          <w:trHeight w:val="1571"/>
        </w:trPr>
        <w:tc>
          <w:tcPr>
            <w:tcW w:w="1485" w:type="dxa"/>
            <w:tcBorders>
              <w:top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Електроніка</w:t>
            </w:r>
          </w:p>
        </w:tc>
        <w:tc>
          <w:tcPr>
            <w:tcW w:w="238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3" w:line="247" w:lineRule="auto"/>
              <w:ind w:left="63" w:right="376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Технології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мають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відповідати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існуючим процесам, які вже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достатньо оптимізовані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відбивають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понесені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витрати.</w:t>
            </w:r>
          </w:p>
          <w:p w:rsidR="00E014C4" w:rsidRDefault="00E014C4" w:rsidP="00E36811">
            <w:pPr>
              <w:pStyle w:val="TableParagraph"/>
              <w:spacing w:line="247" w:lineRule="auto"/>
              <w:ind w:left="63" w:right="82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Нові підходи мають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демонструвати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значне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покращання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показників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порівняно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існуючими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рішеннями</w:t>
            </w:r>
          </w:p>
        </w:tc>
        <w:tc>
          <w:tcPr>
            <w:tcW w:w="24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3" w:line="247" w:lineRule="auto"/>
              <w:ind w:left="63" w:right="7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Подальше зменшення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обсягів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виробничих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циклів 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виробництв як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таких.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Декілька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венчурних</w:t>
            </w:r>
            <w:r>
              <w:rPr>
                <w:rFonts w:ascii="Microsoft Sans Serif" w:hAnsi="Microsoft Sans Serif"/>
                <w:spacing w:val="-6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компаній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активний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продаж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 ринку</w:t>
            </w:r>
          </w:p>
        </w:tc>
      </w:tr>
      <w:tr w:rsidR="00E014C4" w:rsidTr="00E36811">
        <w:trPr>
          <w:trHeight w:val="732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Енергетика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66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Значна конкуренція з боку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фотоелементів,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які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виробляються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Азії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593" w:hanging="1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Каталізатори у біопаливі та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викопному паливі, а також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фотоелементи, зокрема, 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сонячних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батареях</w:t>
            </w:r>
            <w:proofErr w:type="spellEnd"/>
          </w:p>
        </w:tc>
      </w:tr>
      <w:tr w:rsidR="00E014C4" w:rsidTr="00E36811">
        <w:trPr>
          <w:trHeight w:val="935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Матеріали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18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Повинні мати чітке призначення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(наприклад, для акумуляторів).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 правило, процесні інновації з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великим ризиком сприйняття 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 споживачів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54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Великий потенціал різноманітних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сфер</w:t>
            </w:r>
            <w:r>
              <w:rPr>
                <w:rFonts w:ascii="Microsoft Sans Serif" w:hAnsi="Microsoft Sans Serif"/>
                <w:spacing w:val="-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застосування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(від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автомобілів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 електроніки)</w:t>
            </w:r>
          </w:p>
        </w:tc>
      </w:tr>
      <w:tr w:rsidR="00E014C4" w:rsidTr="00E36811">
        <w:trPr>
          <w:trHeight w:val="1057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0" w:right="72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Громадське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харчування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пакування</w:t>
            </w:r>
            <w:r>
              <w:rPr>
                <w:rFonts w:ascii="Microsoft Sans Serif" w:hAnsi="Microsoft Sans Serif"/>
                <w:spacing w:val="-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продуктів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3" w:righ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Ризик сприйняття покупцями 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інвесторами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 генетично-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модифіковані підходи до процесів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цьому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секторі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3" w:right="109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Потенційними споживачами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виступають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мережі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гуртової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торгівлі.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Створює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додаткові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можливості для нанотехнологічних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інновацій</w:t>
            </w:r>
          </w:p>
        </w:tc>
      </w:tr>
    </w:tbl>
    <w:p w:rsidR="00032B3F" w:rsidRDefault="00032B3F"/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E040D3"/>
    <w:multiLevelType w:val="hybridMultilevel"/>
    <w:tmpl w:val="311ED5AE"/>
    <w:lvl w:ilvl="0" w:tplc="EB024CF8">
      <w:numFmt w:val="bullet"/>
      <w:lvlText w:val="•"/>
      <w:lvlJc w:val="left"/>
      <w:pPr>
        <w:ind w:left="685" w:hanging="398"/>
      </w:pPr>
      <w:rPr>
        <w:rFonts w:hint="default"/>
        <w:shadow/>
        <w:w w:val="105"/>
        <w:lang w:val="uk-UA" w:eastAsia="en-US" w:bidi="ar-SA"/>
      </w:rPr>
    </w:lvl>
    <w:lvl w:ilvl="1" w:tplc="34A2B106">
      <w:numFmt w:val="bullet"/>
      <w:lvlText w:val="•"/>
      <w:lvlJc w:val="left"/>
      <w:pPr>
        <w:ind w:left="832" w:hanging="240"/>
      </w:pPr>
      <w:rPr>
        <w:rFonts w:hint="default"/>
        <w:w w:val="99"/>
        <w:lang w:val="uk-UA" w:eastAsia="en-US" w:bidi="ar-SA"/>
      </w:rPr>
    </w:lvl>
    <w:lvl w:ilvl="2" w:tplc="A0A08B0E">
      <w:numFmt w:val="bullet"/>
      <w:lvlText w:val="•"/>
      <w:lvlJc w:val="left"/>
      <w:pPr>
        <w:ind w:left="700" w:hanging="240"/>
      </w:pPr>
      <w:rPr>
        <w:rFonts w:hint="default"/>
        <w:lang w:val="uk-UA" w:eastAsia="en-US" w:bidi="ar-SA"/>
      </w:rPr>
    </w:lvl>
    <w:lvl w:ilvl="3" w:tplc="FB56CCDC">
      <w:numFmt w:val="bullet"/>
      <w:lvlText w:val="•"/>
      <w:lvlJc w:val="left"/>
      <w:pPr>
        <w:ind w:left="840" w:hanging="240"/>
      </w:pPr>
      <w:rPr>
        <w:rFonts w:hint="default"/>
        <w:lang w:val="uk-UA" w:eastAsia="en-US" w:bidi="ar-SA"/>
      </w:rPr>
    </w:lvl>
    <w:lvl w:ilvl="4" w:tplc="9EC8E168">
      <w:numFmt w:val="bullet"/>
      <w:lvlText w:val="•"/>
      <w:lvlJc w:val="left"/>
      <w:pPr>
        <w:ind w:left="1600" w:hanging="240"/>
      </w:pPr>
      <w:rPr>
        <w:rFonts w:hint="default"/>
        <w:lang w:val="uk-UA" w:eastAsia="en-US" w:bidi="ar-SA"/>
      </w:rPr>
    </w:lvl>
    <w:lvl w:ilvl="5" w:tplc="DA9C21B6">
      <w:numFmt w:val="bullet"/>
      <w:lvlText w:val="•"/>
      <w:lvlJc w:val="left"/>
      <w:pPr>
        <w:ind w:left="2093" w:hanging="240"/>
      </w:pPr>
      <w:rPr>
        <w:rFonts w:hint="default"/>
        <w:lang w:val="uk-UA" w:eastAsia="en-US" w:bidi="ar-SA"/>
      </w:rPr>
    </w:lvl>
    <w:lvl w:ilvl="6" w:tplc="8A8232B8">
      <w:numFmt w:val="bullet"/>
      <w:lvlText w:val="•"/>
      <w:lvlJc w:val="left"/>
      <w:pPr>
        <w:ind w:left="2586" w:hanging="240"/>
      </w:pPr>
      <w:rPr>
        <w:rFonts w:hint="default"/>
        <w:lang w:val="uk-UA" w:eastAsia="en-US" w:bidi="ar-SA"/>
      </w:rPr>
    </w:lvl>
    <w:lvl w:ilvl="7" w:tplc="46827BC8">
      <w:numFmt w:val="bullet"/>
      <w:lvlText w:val="•"/>
      <w:lvlJc w:val="left"/>
      <w:pPr>
        <w:ind w:left="3079" w:hanging="240"/>
      </w:pPr>
      <w:rPr>
        <w:rFonts w:hint="default"/>
        <w:lang w:val="uk-UA" w:eastAsia="en-US" w:bidi="ar-SA"/>
      </w:rPr>
    </w:lvl>
    <w:lvl w:ilvl="8" w:tplc="4080D1B4">
      <w:numFmt w:val="bullet"/>
      <w:lvlText w:val="•"/>
      <w:lvlJc w:val="left"/>
      <w:pPr>
        <w:ind w:left="3573" w:hanging="240"/>
      </w:pPr>
      <w:rPr>
        <w:rFonts w:hint="default"/>
        <w:lang w:val="uk-UA" w:eastAsia="en-US" w:bidi="ar-SA"/>
      </w:rPr>
    </w:lvl>
  </w:abstractNum>
  <w:num w:numId="1" w16cid:durableId="1124884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4C4"/>
    <w:rsid w:val="00032B3F"/>
    <w:rsid w:val="00E0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A7F7B0-76CA-4C69-B580-581C492E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4C4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E014C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E014C4"/>
    <w:rPr>
      <w:sz w:val="17"/>
      <w:szCs w:val="17"/>
    </w:rPr>
  </w:style>
  <w:style w:type="character" w:customStyle="1" w:styleId="a4">
    <w:name w:val="Основной текст Знак"/>
    <w:basedOn w:val="a0"/>
    <w:link w:val="a3"/>
    <w:uiPriority w:val="1"/>
    <w:rsid w:val="00E014C4"/>
    <w:rPr>
      <w:rFonts w:ascii="Microsoft Sans Serif" w:eastAsia="Microsoft Sans Serif" w:hAnsi="Microsoft Sans Serif" w:cs="Microsoft Sans Serif"/>
      <w:kern w:val="0"/>
      <w:sz w:val="17"/>
      <w:szCs w:val="17"/>
      <w:lang w:val="uk-UA"/>
      <w14:ligatures w14:val="none"/>
    </w:rPr>
  </w:style>
  <w:style w:type="paragraph" w:styleId="a5">
    <w:name w:val="List Paragraph"/>
    <w:basedOn w:val="a"/>
    <w:uiPriority w:val="1"/>
    <w:qFormat/>
    <w:rsid w:val="00E014C4"/>
    <w:pPr>
      <w:ind w:left="147" w:firstLine="301"/>
    </w:pPr>
  </w:style>
  <w:style w:type="paragraph" w:customStyle="1" w:styleId="TableParagraph">
    <w:name w:val="Table Paragraph"/>
    <w:basedOn w:val="a"/>
    <w:uiPriority w:val="1"/>
    <w:qFormat/>
    <w:rsid w:val="00E014C4"/>
    <w:pPr>
      <w:jc w:val="center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431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2023-04-20T04:55:00Z</dcterms:created>
  <dcterms:modified xsi:type="dcterms:W3CDTF">2023-04-20T04:55:00Z</dcterms:modified>
</cp:coreProperties>
</file>