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2B13" w14:textId="77777777" w:rsidR="00433348" w:rsidRPr="00433348" w:rsidRDefault="00433348" w:rsidP="00433348">
      <w:pPr>
        <w:shd w:val="clear" w:color="auto" w:fill="F8F9FA"/>
        <w:spacing w:after="100" w:afterAutospacing="1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  <w:r w:rsidRPr="00433348">
        <w:rPr>
          <w:rFonts w:ascii="Open Sans" w:eastAsia="Times New Roman" w:hAnsi="Open Sans" w:cs="Open Sans"/>
          <w:i/>
          <w:iCs/>
          <w:color w:val="000000"/>
          <w:kern w:val="0"/>
          <w:lang w:eastAsia="en-GB"/>
          <w14:ligatures w14:val="none"/>
        </w:rPr>
        <w:t>Презентація міжнародної інвестиційної стратегії однієї з ТНК за вибором (max 20 балів)</w:t>
      </w:r>
    </w:p>
    <w:p/>
    <w:p>
      <w:pPr>
        <w:jc w:val="center"/>
      </w:pPr>
      <w:r>
        <w:rPr>
          <w:b/>
          <w:sz w:val="26"/>
        </w:rPr>
        <w:t>Міжнародна інвестиційна стратегія компанії Nestlé S.A.</w:t>
      </w:r>
    </w:p>
    <w:p>
      <w:pPr>
        <w:spacing w:after="120"/>
        <w:ind w:firstLine="360"/>
      </w:pPr>
      <w:r>
        <w:t>Для аналізу я обрав швейцарську компанію Nestlé — найбільшого у світі виробника продуктів харчування та напоїв. Цей вибір не випадковий: Nestlé є класичною транснаціональною корпорацією, історія якої фактично будувалася навколо закордонного інвестування, тож на її прикладі добре простежуються майже всі форми міжнародних інвестиційних стратегій, які ми розглядали у курсі.</w:t>
      </w:r>
    </w:p>
    <w:p>
      <w:pPr>
        <w:spacing w:after="120"/>
        <w:ind w:firstLine="360"/>
      </w:pPr>
      <w:r>
        <w:t>Компанія заснована у другій половині ХІХ століття, її штаб-квартира розташована у швейцарському містечку Веве. Сьогодні Nestlé працює більш ніж у півтори сотні країн, володіє розгалуженою мережею виробничих майданчиків і портфелем із тисяч торгових марок — від Nescafé та Nespresso до Maggi, KitKat, Purina й дитячого харчування Gerber. Принциповим для розуміння її стратегії є те, що абсолютна більшість продажів і активів припадає не на Швейцарію, а на закордонні ринки. Іншими словами, для Nestlé міжнародне інвестування — не доповнення до основного бізнесу, а сам спосіб його існування.</w:t>
      </w:r>
    </w:p>
    <w:p>
      <w:pPr>
        <w:spacing w:before="200"/>
      </w:pPr>
      <w:r>
        <w:rPr>
          <w:b/>
        </w:rPr>
        <w:t>Сутність і цілі інвестиційної стратегії</w:t>
      </w:r>
    </w:p>
    <w:p>
      <w:pPr>
        <w:spacing w:after="120"/>
        <w:ind w:firstLine="360"/>
      </w:pPr>
      <w:r>
        <w:t>Якщо спиратися на визначення з курсу, міжнародна інвестиційна стратегія підприємства — це спосіб досягнення та фінансування довгострокових цілей розвитку на зовнішніх ринках задля ефективної алокації активів. У випадку Nestlé ця алокація стосується не лише фінансових вкладень, а насамперед виробничої діяльності, розміщеної по всьому світу. Стратегічна логіка компанії підпорядкована кільком цілям: вийти на ринки, що зростають (передусім Азію, Африку, Латинську Америку), наблизити виробництво до споживача, отримати доступ до сировини й технологій та поступово зміщуватися в сегменти з вищою доданою вартістю — каву, преміальну воду, дитяче й функціональне харчування.</w:t>
      </w:r>
    </w:p>
    <w:p>
      <w:pPr>
        <w:spacing w:before="200"/>
      </w:pPr>
      <w:r>
        <w:rPr>
          <w:b/>
        </w:rPr>
        <w:t>Стратегії прямого інвестування</w:t>
      </w:r>
    </w:p>
    <w:p>
      <w:pPr>
        <w:spacing w:after="120"/>
        <w:ind w:firstLine="360"/>
      </w:pPr>
      <w:r>
        <w:t>Найвиразніше у діяльності Nestlé проявляються стратегії прямого (реального) інвестування. Виходячи на нові ринки, компанія нерідко будує підприємства «з нуля» — це так звані greenfield-інвестиції, які дають змогу одразу закласти потрібні потужності й технології. Там, де доцільніше не будувати, а придбати та модернізувати наявне виробництво, Nestlé вдається до brownfield-інвестицій — саме так компанія зазвичай заходила на ринки Центральної та Східної Європи.</w:t>
      </w:r>
    </w:p>
    <w:p>
      <w:pPr>
        <w:spacing w:after="120"/>
        <w:ind w:firstLine="360"/>
      </w:pPr>
      <w:r>
        <w:t>Окремо варто виділити стратегію злиттів і поглинань, яка для Nestlé є чи не головним інструментом зростання на насичених конкурентних ринках. Замість того щоб роками відвойовувати частку, компанія купує сильного локального чи галузевого гравця разом із його брендами та каналами збуту. До портфеля Nestlé у різні роки у такий спосіб увійшли, зокрема, Carnation, Rowntree, Ralston Purina, дитяче харчування Gerber і Wyeth Nutrition; із цієї ж логіки випливає й відома угода зі Starbucks про права на роздрібний продаж кави. Поряд із поглинаннями компанія активно використовує спільні підприємства — наприклад, виробництво сухих сніданків спільно з General Mills, — коли вигідніше розділити ризики й скористатися компетенціями партнера. Прибуток закордонних підрозділів значною мірою реінвестується у розширення місцевих потужностей, а не вивозиться, що теж є свідомою стратегією.</w:t>
      </w:r>
    </w:p>
    <w:p>
      <w:pPr>
        <w:spacing w:before="200"/>
      </w:pPr>
      <w:r>
        <w:rPr>
          <w:b/>
        </w:rPr>
        <w:t>Елементи портфельного інвестування</w:t>
      </w:r>
    </w:p>
    <w:p>
      <w:pPr>
        <w:spacing w:after="120"/>
        <w:ind w:firstLine="360"/>
      </w:pPr>
      <w:r>
        <w:t>Не обмежуючись виробництвом, Nestlé виступає і фінансовим інвестором. Найвідоміший приклад — багаторічне володіння значним пакетом акцій косметичного концерну L’Oréal, тобто вкладення поза основним профілем компанії. За співвідношенням дохідності та ризику поведінку Nestlé загалом можна назвати збалансованою й радше консервативною: стабільне «захисне» ядро харчового бізнесу доповнюється точковими вкладеннями у перспективні напрями, зокрема в нішеву й преміальну каву.</w:t>
      </w:r>
    </w:p>
    <w:p>
      <w:pPr>
        <w:spacing w:before="200"/>
      </w:pPr>
      <w:r>
        <w:rPr>
          <w:b/>
        </w:rPr>
        <w:t>Чим визначається вибір конкретної форми</w:t>
      </w:r>
    </w:p>
    <w:p>
      <w:pPr>
        <w:spacing w:after="120"/>
        <w:ind w:firstLine="360"/>
      </w:pPr>
      <w:r>
        <w:t>Важливо, що Nestlé не застосовує одну й ту саму стратегію скрізь. Вибір форми входу щоразу залежить від ситуації на ринку, рівня конкуренції, наявних ресурсів і прийнятного ризику. На зрілому ринку з сильними гравцями розумніше купити вже відому компанію; на ринку, що тільки формується, — побудувати власне виробництво або зайти разом із партнером. У цьому й полягає той зв’язок між мотивами, формами та ризиками, про який ідеться в теорії інвестиційних стратегій ТНК.</w:t>
      </w:r>
    </w:p>
    <w:p>
      <w:pPr>
        <w:spacing w:before="200"/>
      </w:pPr>
      <w:r>
        <w:rPr>
          <w:b/>
        </w:rPr>
        <w:t>Управління ризиками через диверсифікацію</w:t>
      </w:r>
    </w:p>
    <w:p>
      <w:pPr>
        <w:spacing w:after="120"/>
        <w:ind w:firstLine="360"/>
      </w:pPr>
      <w:r>
        <w:t>Стійкість Nestlé значною мірою тримається на диверсифікації. Географічна — присутність на десятках ринків — згладжує залежність від кон’юнктури окремої країни. Продуктова — широкий асортимент категорій — компенсує спад попиту в окремому сегменті. Нарешті, локалізація виробництва за принципом «виробляємо там, де продаємо» зменшує валютні та логістичні ризики. Усе разом дозволяє компанії проходити кризи відносно стабільно.</w:t>
      </w:r>
    </w:p>
    <w:p>
      <w:pPr>
        <w:spacing w:before="200"/>
      </w:pPr>
      <w:r>
        <w:rPr>
          <w:b/>
        </w:rPr>
        <w:t>Присутність в Україні</w:t>
      </w:r>
    </w:p>
    <w:p>
      <w:pPr>
        <w:spacing w:after="120"/>
        <w:ind w:firstLine="360"/>
      </w:pPr>
      <w:r>
        <w:t>Україна не є винятком із загальної логіки. Nestlé прийшла на наш ринок ще у 1990-х і закріпилася переважно через придбання місцевих виробників — серед них львівська кондитерська фабрика «Світоч» і відома торгова марка «Торчин». Надалі компанія вкладала кошти у модернізацію цих потужностей, що цілком вписується у її глобальну модель поведінки.</w:t>
      </w:r>
    </w:p>
    <w:p>
      <w:pPr>
        <w:spacing w:before="200"/>
      </w:pPr>
      <w:r>
        <w:rPr>
          <w:b/>
        </w:rPr>
        <w:t>Висновок</w:t>
      </w:r>
    </w:p>
    <w:p>
      <w:pPr>
        <w:spacing w:after="120"/>
        <w:ind w:firstLine="360"/>
      </w:pPr>
      <w:r>
        <w:t>Отже, Nestlé демонструє цілісну й продуману міжнародну інвестиційну стратегію, у якій поєднані практично всі форми прямого інвестування та елементи портфельного. В основі лежить глобальна алокація активів і послідовна диверсифікація, а конкретна форма виходу на кожен ринок щоразу підбирається під ситуацію. Саме тому приклад цієї компанії добре ілюструє теоретичні положення курсу про інвестиційні стратегії транснаціональних корпорацій.</w:t>
      </w:r>
    </w:p>
    <w:sectPr w:rsidR="00433348" w:rsidRPr="00433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48"/>
    <w:rsid w:val="00433348"/>
    <w:rsid w:val="004A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8F6EF5"/>
  <w15:chartTrackingRefBased/>
  <w15:docId w15:val="{CB9CDAD2-B318-B740-9266-552355EA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3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3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Gordy</dc:creator>
  <cp:keywords/>
  <dc:description/>
  <cp:lastModifiedBy>Olexandr Gordy</cp:lastModifiedBy>
  <cp:revision>1</cp:revision>
  <dcterms:created xsi:type="dcterms:W3CDTF">2026-06-08T16:37:00Z</dcterms:created>
  <dcterms:modified xsi:type="dcterms:W3CDTF">2026-06-08T16:38:00Z</dcterms:modified>
</cp:coreProperties>
</file>