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0067B" w14:textId="3C9BCD39" w:rsidR="0027559E" w:rsidRDefault="0027559E">
      <w:r>
        <w:rPr>
          <w:rFonts w:ascii="Open Sans" w:hAnsi="Open Sans" w:cs="Open Sans"/>
          <w:color w:val="000000"/>
          <w:shd w:val="clear" w:color="auto" w:fill="F8F9FA"/>
        </w:rPr>
        <w:t>Підготуйте доповідь на тему </w:t>
      </w:r>
      <w:r>
        <w:rPr>
          <w:rFonts w:ascii="Open Sans" w:hAnsi="Open Sans" w:cs="Open Sans"/>
          <w:color w:val="000000"/>
          <w:shd w:val="clear" w:color="auto" w:fill="F8F9FA"/>
          <w:lang w:val="ru-RU"/>
        </w:rPr>
        <w:t>Си</w:t>
      </w:r>
      <w:r>
        <w:rPr>
          <w:rFonts w:ascii="Open Sans" w:hAnsi="Open Sans" w:cs="Open Sans"/>
          <w:color w:val="000000"/>
          <w:shd w:val="clear" w:color="auto" w:fill="F8F9FA"/>
        </w:rPr>
        <w:t>стема показників, які використовуються при аналізі інвестиційних процесів</w:t>
      </w:r>
    </w:p>
    <w:p/>
    <w:p>
      <w:pPr>
        <w:jc w:val="center"/>
      </w:pPr>
      <w:r>
        <w:rPr>
          <w:b/>
          <w:sz w:val="26"/>
        </w:rPr>
        <w:t>Система показників, які використовуються при аналізі інвестиційних процесів</w:t>
      </w:r>
    </w:p>
    <w:p>
      <w:pPr>
        <w:jc w:val="center"/>
      </w:pPr>
      <w:r>
        <w:t>Доповідь</w:t>
      </w:r>
    </w:p>
    <w:p>
      <w:pPr>
        <w:spacing w:after="120"/>
        <w:ind w:firstLine="360"/>
      </w:pPr>
      <w:r>
        <w:t>Перш ніж вкласти кошти в будь-який проект, інвестор має відповісти на просте за формулюванням, але складне за суттю питання: чи варта ця справа тих грошей, які в неї доведеться вкласти. Саме на це й працює система показників аналізу інвестиційних процесів — набір критеріїв, що дозволяють оцінити проект, обґрунтувати доцільність участі в ньому та, за потреби, порівняти кілька проектів і обрати найкращий. У своїй доповіді я хочу показати, з чого складається цей аналіз і які показники є його основним інструментом.</w:t>
      </w:r>
    </w:p>
    <w:p>
      <w:pPr>
        <w:spacing w:before="200"/>
      </w:pPr>
      <w:r>
        <w:rPr>
          <w:b/>
        </w:rPr>
        <w:t>Проектний аналіз як основа оцінки</w:t>
      </w:r>
    </w:p>
    <w:p>
      <w:pPr>
        <w:spacing w:after="120"/>
        <w:ind w:firstLine="360"/>
      </w:pPr>
      <w:r>
        <w:t>Сама оцінка не зводиться лише до фінансів. У теорії проектний аналіз розглядають як сукупність методологічних прийомів, що застосовуються для обґрунтування проектних рішень, і він охоплює кілька складових. Технічний аналіз має визначити найдоцільнішу для проекту техніку й технологію; комерційний — оцінити ринок збуту майбутньої продукції; інституціональний — організаційно-правове та адміністративне середовище. Окремо виділяють соціальний аналіз, що вивчає вплив проекту на життя місцевих жителів, бюджетний — наслідки для державного чи місцевого бюджету, та аналіз навколишнього середовища. Проте вирішальне значення мають фінансовий та економічний аналіз: перший оцінює проект із позиції фірми та її кредиторів, другий — дохідність з погляду всього суспільства. Саме вони показують реальну ефективність вкладення коштів, тож і система показників, про яку йдеться далі, належить насамперед до фінансово-економічної оцінки.</w:t>
      </w:r>
    </w:p>
    <w:p>
      <w:pPr>
        <w:spacing w:after="120"/>
        <w:ind w:firstLine="360"/>
      </w:pPr>
      <w:r>
        <w:t>Складність такої оцінки пояснюється кількома обставинами: інвестиційні витрати нерідко здійснюються одноразово, тоді як результати проект приносить упродовж тривалого часу, а довгострокове фінансування завжди підвищує невизначеність і ризик помилки. Через це не існує єдиного універсального показника — на практиці застосовують цілу систему критеріїв, які умовно поділяють на дві групи: ті, що враховують вартість грошей у часі (дисконтні), і ті, що її не враховують (облікові, статичні).</w:t>
      </w:r>
    </w:p>
    <w:p>
      <w:pPr>
        <w:spacing w:before="200"/>
      </w:pPr>
      <w:r>
        <w:rPr>
          <w:b/>
        </w:rPr>
        <w:t>Показники, що враховують вартість грошей у часі</w:t>
      </w:r>
    </w:p>
    <w:p>
      <w:pPr>
        <w:spacing w:after="120"/>
        <w:ind w:firstLine="360"/>
      </w:pPr>
      <w:r>
        <w:t>Центральне місце в міжнародній практиці посідає чиста поточна (приведена) вартість, NPV. Цей показник демонструє, на яку величину зросте цінність компанії в результаті реалізації проекту, і завжди визначається методом дисконтованих грошових потоків. Логіка проста: якщо приведені до сьогодні доходи перевищують приведені витрати, проект створює вартість і його варто приймати.</w:t>
      </w:r>
    </w:p>
    <w:p>
      <w:pPr>
        <w:spacing w:after="120"/>
        <w:ind w:firstLine="360"/>
      </w:pPr>
      <w:r>
        <w:t>Тісно пов’язаний із NPV індекс рентабельності інвестицій, PI. Він зіставляє поточну вартість грошових надходжень із поточною вартістю вкладених коштів, тобто фактично співвідносить дохідну й інвестиційну частини NPV. Показник зручний для оцінки рівня ефективності, проте має обмеження: його не варто використовувати для ранжування варіантів, оскільки результат залежить від прийнятої норми дисконту й містить елемент суб’єктивізму.</w:t>
      </w:r>
    </w:p>
    <w:p>
      <w:pPr>
        <w:spacing w:after="120"/>
        <w:ind w:firstLine="360"/>
      </w:pPr>
      <w:r>
        <w:t>Ще один ключовий критерій — внутрішня норма прибутковості, IRR. Це та ставка дисконту, за якої поточна вартість доходів від проекту дорівнює поточній вартості вкладень, тобто за якої NPV перетворюється на нуль. Економічно IRR означає максимальний відсоток за залучені кошти, який проект здатний витримати, залишаючись беззбитковим. На практиці її знаходять підбором, методом послідовних наближень, і вона особливо корисна, коли треба вирішити, чи доцільно залучати кредитні ресурси.</w:t>
      </w:r>
    </w:p>
    <w:p>
      <w:pPr>
        <w:spacing w:after="120"/>
        <w:ind w:firstLine="360"/>
      </w:pPr>
      <w:r>
        <w:t>Доповнює IRR її модифікований варіант — MIRR. Він усуває головну ваду звичайної внутрішньої норми, а саме проблему множинності значень для нестандартних грошових потоків, і дає коректнішу оцінку ставки реінвестування: усі доходи приводяться до кінцевої вартості за середньозваженою вартістю капіталу. Правило прийняття рішення тут чітке — проект приймають, якщо MIRR перевищує вартість джерела фінансування (WACC).</w:t>
      </w:r>
    </w:p>
    <w:p>
      <w:pPr>
        <w:spacing w:before="200"/>
      </w:pPr>
      <w:r>
        <w:rPr>
          <w:b/>
        </w:rPr>
        <w:t>Облікові показники, що не передбачають дисконтування</w:t>
      </w:r>
    </w:p>
    <w:p>
      <w:pPr>
        <w:spacing w:after="120"/>
        <w:ind w:firstLine="360"/>
      </w:pPr>
      <w:r>
        <w:t>Друга група показників простіша в розрахунку, бо не приводить грошові потоки до теперішньої вартості. Передусім це термін окупності, PP, — проміжок часу від початку реалізації проекту до моменту, коли доходи від експлуатації зрівняються з початковими інвестиціями. Чим він коротший, тим менший ризик, тому до цього показника особливо уважні інвестори, що вкладають кошти у ризиковані проекти.</w:t>
      </w:r>
    </w:p>
    <w:p>
      <w:pPr>
        <w:spacing w:after="120"/>
        <w:ind w:firstLine="360"/>
      </w:pPr>
      <w:r>
        <w:t>Зарубіжні корпорації часто застосовують коефіцієнт ефективності інвестицій, або облікову норму прибутку, ARR. Його обчислюють діленням середньорічного чистого прибутку на середню величину інвестицій, а отриманий результат порівнюють із рентабельністю авансованого капіталу ROA — за правилом, проект прийнятний, коли ARR перевищує ROA. Цей метод не дисконтує доходи й оперує бухгалтерським показником чистого прибутку, через що він простий і дуже поширений на практиці.</w:t>
      </w:r>
    </w:p>
    <w:p>
      <w:pPr>
        <w:spacing w:after="120"/>
        <w:ind w:firstLine="360"/>
      </w:pPr>
      <w:r>
        <w:t>До цієї ж групи належить бухгалтерська рентабельність інвестицій, ROI, що дає узагальнену оцінку прибутковості вкладень в активи, та середня норма рентабельності ARR’, яка показує співвідношення середньорічних надходжень і початкових інвестицій. Усі ці показники зорієнтовані не на грошові потоки, а на бухгалтерський прибуток, тому їх найдоречніше застосовувати при порівнянні діяльності окремих підрозділів компанії.</w:t>
      </w:r>
    </w:p>
    <w:p>
      <w:pPr>
        <w:spacing w:before="200"/>
      </w:pPr>
      <w:r>
        <w:rPr>
          <w:b/>
        </w:rPr>
        <w:t>Висновок</w:t>
      </w:r>
    </w:p>
    <w:p>
      <w:pPr>
        <w:spacing w:after="120"/>
        <w:ind w:firstLine="360"/>
      </w:pPr>
      <w:r>
        <w:t>Отже, система показників аналізу інвестиційних процесів — це не один універсальний критерій, а взаємодоповнювані групи інструментів. Дисконтні показники (NPV, PI, IRR, MIRR) враховують вартість грошей у часі й точніше відображають реальну ефективність, тоді як облікові (PP, ARR, ROI, ROA) простіші та зручні для швидкої оцінки й порівнянь. На практиці їх застосовують разом: лише комплексний погляд дозволяє ухвалити обґрунтоване рішення про реалізацію проекту з мінімальним ризиком помилки. Дякую за увагу.</w:t>
      </w:r>
    </w:p>
    <w:sectPr w:rsidR="002755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9E"/>
    <w:rsid w:val="0027559E"/>
    <w:rsid w:val="004A7A86"/>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1A346A65"/>
  <w15:chartTrackingRefBased/>
  <w15:docId w15:val="{8826B3B9-3422-6441-A929-B7DD4DFCD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59E"/>
    <w:rPr>
      <w:rFonts w:eastAsiaTheme="majorEastAsia" w:cstheme="majorBidi"/>
      <w:color w:val="272727" w:themeColor="text1" w:themeTint="D8"/>
    </w:rPr>
  </w:style>
  <w:style w:type="paragraph" w:styleId="Title">
    <w:name w:val="Title"/>
    <w:basedOn w:val="Normal"/>
    <w:next w:val="Normal"/>
    <w:link w:val="TitleChar"/>
    <w:uiPriority w:val="10"/>
    <w:qFormat/>
    <w:rsid w:val="00275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59E"/>
    <w:pPr>
      <w:spacing w:before="160"/>
      <w:jc w:val="center"/>
    </w:pPr>
    <w:rPr>
      <w:i/>
      <w:iCs/>
      <w:color w:val="404040" w:themeColor="text1" w:themeTint="BF"/>
    </w:rPr>
  </w:style>
  <w:style w:type="character" w:customStyle="1" w:styleId="QuoteChar">
    <w:name w:val="Quote Char"/>
    <w:basedOn w:val="DefaultParagraphFont"/>
    <w:link w:val="Quote"/>
    <w:uiPriority w:val="29"/>
    <w:rsid w:val="0027559E"/>
    <w:rPr>
      <w:i/>
      <w:iCs/>
      <w:color w:val="404040" w:themeColor="text1" w:themeTint="BF"/>
    </w:rPr>
  </w:style>
  <w:style w:type="paragraph" w:styleId="ListParagraph">
    <w:name w:val="List Paragraph"/>
    <w:basedOn w:val="Normal"/>
    <w:uiPriority w:val="34"/>
    <w:qFormat/>
    <w:rsid w:val="0027559E"/>
    <w:pPr>
      <w:ind w:left="720"/>
      <w:contextualSpacing/>
    </w:pPr>
  </w:style>
  <w:style w:type="character" w:styleId="IntenseEmphasis">
    <w:name w:val="Intense Emphasis"/>
    <w:basedOn w:val="DefaultParagraphFont"/>
    <w:uiPriority w:val="21"/>
    <w:qFormat/>
    <w:rsid w:val="0027559E"/>
    <w:rPr>
      <w:i/>
      <w:iCs/>
      <w:color w:val="2F5496" w:themeColor="accent1" w:themeShade="BF"/>
    </w:rPr>
  </w:style>
  <w:style w:type="paragraph" w:styleId="IntenseQuote">
    <w:name w:val="Intense Quote"/>
    <w:basedOn w:val="Normal"/>
    <w:next w:val="Normal"/>
    <w:link w:val="IntenseQuoteChar"/>
    <w:uiPriority w:val="30"/>
    <w:qFormat/>
    <w:rsid w:val="00275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59E"/>
    <w:rPr>
      <w:i/>
      <w:iCs/>
      <w:color w:val="2F5496" w:themeColor="accent1" w:themeShade="BF"/>
    </w:rPr>
  </w:style>
  <w:style w:type="character" w:styleId="IntenseReference">
    <w:name w:val="Intense Reference"/>
    <w:basedOn w:val="DefaultParagraphFont"/>
    <w:uiPriority w:val="32"/>
    <w:qFormat/>
    <w:rsid w:val="002755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Words>
  <Characters>89</Characters>
  <Application>Microsoft Office Word</Application>
  <DocSecurity>0</DocSecurity>
  <Lines>1</Lines>
  <Paragraphs>1</Paragraphs>
  <ScaleCrop>false</ScaleCrop>
  <Company/>
  <LinksUpToDate>false</LinksUpToDate>
  <CharactersWithSpaces>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Olexandr Gordy</dc:creator>
  <cp:keywords/>
  <dc:description/>
  <cp:lastModifiedBy>Olexandr Gordy</cp:lastModifiedBy>
  <cp:revision>1</cp:revision>
  <dcterms:created xsi:type="dcterms:W3CDTF">2026-06-08T16:35:00Z</dcterms:created>
  <dcterms:modified xsi:type="dcterms:W3CDTF">2026-06-08T16:35:00Z</dcterms:modified>
</cp:coreProperties>
</file>