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74191f10ef2e251e809387df33c8a0bd20869e3"/>
    <w:p>
      <w:pPr>
        <w:spacing w:line="48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Запорізький національний університет</w:t>
      </w:r>
    </w:p>
    <w:p>
      <w:pPr>
        <w:spacing w:line="48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Кафедра економічної кібернетики</w:t>
      </w:r>
    </w:p>
    <w:p>
      <w:pPr>
        <w:spacing w:line="48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line="48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line="48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line="480" w:lineRule="auto"/>
        <w:jc w:val="center"/>
      </w:pPr>
      <w:r>
        <w:rPr>
          <w:rFonts w:ascii="Times New Roman" w:hAnsi="Times New Roman" w:cs="Times New Roman"/>
          <w:b/>
          <w:i w:val="0"/>
          <w:sz w:val="28"/>
        </w:rPr>
        <w:t>ІНДИВІДУАЛЬНИЙ ПРАКТИЧНИЙ КЕЙС № 1</w:t>
      </w:r>
    </w:p>
    <w:p>
      <w:pPr>
        <w:spacing w:line="480" w:lineRule="auto"/>
        <w:jc w:val="center"/>
      </w:pPr>
      <w:r>
        <w:rPr>
          <w:rFonts w:ascii="Times New Roman" w:hAnsi="Times New Roman" w:cs="Times New Roman"/>
          <w:b/>
          <w:i w:val="0"/>
          <w:sz w:val="24"/>
        </w:rPr>
        <w:t>Інфраструктура фінансового ринку та джерела аналізу його динаміки</w:t>
      </w:r>
    </w:p>
    <w:p>
      <w:pPr>
        <w:spacing w:line="480" w:lineRule="auto"/>
        <w:jc w:val="center"/>
      </w:pPr>
      <w:r>
        <w:rPr>
          <w:rFonts w:ascii="Times New Roman" w:hAnsi="Times New Roman" w:cs="Times New Roman"/>
          <w:b w:val="0"/>
          <w:i/>
          <w:sz w:val="24"/>
        </w:rPr>
        <w:t>(на прикладі акцій Meta Platforms Inc.)</w:t>
      </w:r>
    </w:p>
    <w:p>
      <w:pPr>
        <w:spacing w:line="48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line="48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line="48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line="48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line="48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Навчальна дисципліна:</w:t>
      </w:r>
    </w:p>
    <w:p>
      <w:pPr>
        <w:spacing w:line="480" w:lineRule="auto"/>
        <w:jc w:val="center"/>
      </w:pPr>
      <w:r>
        <w:rPr>
          <w:rFonts w:ascii="Times New Roman" w:hAnsi="Times New Roman" w:cs="Times New Roman"/>
          <w:b w:val="0"/>
          <w:i/>
          <w:sz w:val="24"/>
        </w:rPr>
        <w:t>«Новий аналітичний погляд на динаміку ринків»</w:t>
      </w:r>
    </w:p>
    <w:p>
      <w:pPr>
        <w:spacing w:line="48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line="48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Виконав: Гордій Олександр</w:t>
      </w:r>
    </w:p>
    <w:p>
      <w:pPr>
        <w:spacing w:line="48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line="48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line="48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line="48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Запоріжжя — 2026</w:t>
      </w:r>
    </w:p>
    <w:p>
      <w:r>
        <w:br w:type="page"/>
      </w:r>
    </w:p>
    <w:p>
      <w:pPr>
        <w:pStyle w:val="Heading1"/>
        <w:spacing w:before="240" w:after="120" w:line="480" w:lineRule="auto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 xml:space="preserve">Інфраструктура фінансового ринку та джерела даних</w:t>
      </w:r>
    </w:p>
    <w:p>
      <w:pPr>
        <w:pStyle w:val="FirstParagraph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Сучасний фінансовий ринок є складною інформаційною системою, у якій ціни фінансових інструментів формуються під впливом великої кількості учасників і чинників. Інформаційну підтримку ринку забезпечують біржі, брокерські компанії, інформаційні агентства та фінансові портали, які акумулюють і публікують ретроспективні дані щодо динаміки котирувань (Арутюнян та ін., 2018). Саме доступність таких даних дає змогу досліднику отримати часові ряди цін і застосувати до них апарат статистичного аналізу.</w:t>
      </w:r>
    </w:p>
    <w:p>
      <w:pPr>
        <w:pStyle w:val="BodyText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Для дослідження ми обрали чотири високоліквідні акції, що входять до складу індексу S&amp;P 500, — Microsoft Corporation (MSFT), Amazon.com Inc. (AMZN), NVIDIA Corporation (NVDA) та Meta Platforms Inc. (META). Перевагу цим емітентам надано через значні обсяги торгів, які забезпечують репрезентативність і неперервність цінового ряду. У межах цієї частини роботи детально розглянуто інструмент — звичайні акції Meta Platforms Inc., що котируються на біржі NASDAQ під тікером META.</w:t>
      </w:r>
    </w:p>
    <w:p>
      <w:pPr>
        <w:pStyle w:val="BodyText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Джерелом первинних даних слугував глобальний фінансовий портал Investing.com, а також відкритий історичний архів котирувань Yahoo Finance, з якого було імпортовано щоденні ціни закриття з поправкою на корпоративні події (дроблення акцій та виплату дивідендів). Процедура отримання даних передбачала вибір інструмента, задання діапазону дат і періодичності та експорт історичних котирувань у форматі CSV із подальшим опрацюванням у середовищі обробки даних. Дослідний період охоплює перше півріччя 2026 року — з 2026-01-02 до 2026-06-18, що відповідає 116 торговим дням. Фрагмент імпортованого часового ряду наведено в таблиці 1.</w:t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b/>
          <w:bCs/>
          <w:sz w:val="24"/>
        </w:rPr>
        <w:t xml:space="preserve">Таблиця 1</w:t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i/>
          <w:iCs/>
          <w:sz w:val="24"/>
        </w:rPr>
        <w:t xml:space="preserve">Фрагмент імпортованого часового ряду цін закриття акцій Meta (дол. США)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Дата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Ціна закриття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02.01.2026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649,25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05.01.2026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657,62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06.01.2026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659,44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07.01.2026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647,53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08.01.2026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644,91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…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…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12.06.2026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566,45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15.06.2026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593,48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16.06.2026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600,21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17.06.2026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567,58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18.06.2026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566,24</w:t>
            </w:r>
          </w:p>
        </w:tc>
      </w:tr>
    </w:tbl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i/>
          <w:iCs/>
          <w:sz w:val="24"/>
        </w:rPr>
        <w:t xml:space="preserve">Примітка.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Наведено перші та останні п’ять спостережень вибірки. Складено автором за даними Yahoo Finance (2026).</w:t>
      </w:r>
    </w:p>
    <w:p>
      <w:pPr>
        <w:pStyle w:val="BodyText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Позначимо досліджуваний часовий ряд як</w:t>
      </w:r>
      <w:r>
        <w:rPr>
          <w:rFonts w:ascii="Times New Roman" w:hAnsi="Times New Roman" w:cs="Times New Roman"/>
          <w:sz w:val="24"/>
        </w:rP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⟨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d</m:t>
                </m:r>
                <m:r>
                  <m:rPr>
                    <m:sty m:val="p"/>
                  </m:rPr>
                  <m:t>,</m:t>
                </m:r>
                <m:r>
                  <m:t> </m:t>
                </m:r>
                <m:r>
                  <m:t>w</m:t>
                </m:r>
                <m:r>
                  <m:rPr>
                    <m:sty m:val="p"/>
                  </m:rPr>
                  <m:t>,</m:t>
                </m:r>
                <m:r>
                  <m:t> </m:t>
                </m:r>
                <m:r>
                  <m:t>m</m:t>
                </m:r>
              </m:sub>
            </m:sSub>
          </m:e>
        </m:bar>
        <m:r>
          <m:rPr>
            <m:sty m:val="p"/>
          </m:rPr>
          <m:t>⟩</m:t>
        </m:r>
      </m:oMath>
      <w:r>
        <w:rPr>
          <w:rFonts w:ascii="Times New Roman" w:hAnsi="Times New Roman" w:cs="Times New Roman"/>
          <w:sz w:val="24"/>
        </w:rPr>
        <w:t xml:space="preserve">, де</w:t>
      </w:r>
      <w:r>
        <w:rPr>
          <w:rFonts w:ascii="Times New Roman" w:hAnsi="Times New Roman" w:cs="Times New Roman"/>
          <w:sz w:val="24"/>
        </w:rPr>
        <w:t xml:space="preserve"> </w:t>
      </w:r>
      <m:oMath>
        <m:sSub>
          <m:e>
            <m:r>
              <m:t>z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— ціна закриття акції за торговий день</w:t>
      </w:r>
      <w:r>
        <w:rPr>
          <w:rFonts w:ascii="Times New Roman" w:hAnsi="Times New Roman" w:cs="Times New Roman"/>
          <w:sz w:val="24"/>
        </w:rPr>
        <w:t xml:space="preserve"> </w:t>
      </w:r>
      <m:oMath>
        <m:r>
          <m:t>d</m:t>
        </m:r>
      </m:oMath>
      <w:r>
        <w:rPr>
          <w:rFonts w:ascii="Times New Roman" w:hAnsi="Times New Roman" w:cs="Times New Roman"/>
          <w:sz w:val="24"/>
        </w:rPr>
        <w:t xml:space="preserve">,</w:t>
      </w:r>
      <w:r>
        <w:rPr>
          <w:rFonts w:ascii="Times New Roman" w:hAnsi="Times New Roman" w:cs="Times New Roman"/>
          <w:sz w:val="24"/>
        </w:rPr>
        <w:t xml:space="preserve"> </w:t>
      </w:r>
      <m:oMath>
        <m:r>
          <m:t>d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116</m:t>
            </m:r>
          </m:e>
        </m:bar>
      </m:oMath>
      <w:r>
        <w:rPr>
          <w:rFonts w:ascii="Times New Roman" w:hAnsi="Times New Roman" w:cs="Times New Roman"/>
          <w:sz w:val="24"/>
        </w:rPr>
        <w:t xml:space="preserve">;</w:t>
      </w:r>
      <w:r>
        <w:rPr>
          <w:rFonts w:ascii="Times New Roman" w:hAnsi="Times New Roman" w:cs="Times New Roman"/>
          <w:sz w:val="24"/>
        </w:rPr>
        <w:t xml:space="preserve"> </w:t>
      </w:r>
      <m:oMath>
        <m:sSub>
          <m:e>
            <m:r>
              <m:t>z</m:t>
            </m:r>
          </m:e>
          <m:sub>
            <m:r>
              <m:t>w</m:t>
            </m:r>
          </m:sub>
        </m:sSub>
      </m:oMath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та</w:t>
      </w:r>
      <w:r>
        <w:rPr>
          <w:rFonts w:ascii="Times New Roman" w:hAnsi="Times New Roman" w:cs="Times New Roman"/>
          <w:sz w:val="24"/>
        </w:rPr>
        <w:t xml:space="preserve"> </w:t>
      </w:r>
      <m:oMath>
        <m:sSub>
          <m:e>
            <m:r>
              <m:t>z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— відповідно щотижневі та щомісячні значення ціни, агреговані як ціна останнього торгового дня періоду.</w:t>
      </w:r>
    </w:p>
    <w:bookmarkEnd w:id="9"/>
    <w:bookmarkStart w:id="10" w:name="методика-статистичного-аналізу"/>
    <w:p>
      <w:pPr>
        <w:pStyle w:val="Heading1"/>
        <w:spacing w:before="240" w:after="120" w:line="480" w:lineRule="auto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 xml:space="preserve">Методика статистичного аналізу</w:t>
      </w:r>
    </w:p>
    <w:p>
      <w:pPr>
        <w:pStyle w:val="FirstParagraph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Для характеристики динаміки ціни застосовано поєднання трендового та описово-статистичного аналізу, що узгоджується з підходами, викладеними в роботах Максишко (2009) та Максишко і Шаповалової (2018). На першому етапі тенденцію часового ряду апроксимовано трьома типами трендів — лінійним, поліноміальним (другого степеня) та степеневим: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  <m:r>
            <m:t>  </m:t>
          </m:r>
          <m:r>
            <m:t>y</m:t>
          </m:r>
          <m:r>
            <m:rPr>
              <m:sty m:val="p"/>
            </m:rPr>
            <m:t>=</m:t>
          </m:r>
          <m:r>
            <m:t>c</m:t>
          </m:r>
          <m:r>
            <m:t> </m:t>
          </m:r>
          <m:sSup>
            <m:e>
              <m:r>
                <m:t>x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Якість апроксимації оцінено за коефіцієнтом детермінації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де</w:t>
      </w:r>
      <w:r>
        <w:rPr>
          <w:rFonts w:ascii="Times New Roman" w:hAnsi="Times New Roman" w:cs="Times New Roman"/>
          <w:sz w:val="24"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— фактичне значення ціни,</w:t>
      </w:r>
      <w:r>
        <w:rPr>
          <w:rFonts w:ascii="Times New Roman" w:hAnsi="Times New Roman" w:cs="Times New Roman"/>
          <w:sz w:val="24"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— модельне значення,</w:t>
      </w:r>
      <w:r>
        <w:rPr>
          <w:rFonts w:ascii="Times New Roman" w:hAnsi="Times New Roman" w:cs="Times New Roman"/>
          <w:sz w:val="24"/>
        </w:rP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— середнє ряду.</w:t>
      </w:r>
    </w:p>
    <w:p>
      <w:pPr>
        <w:pStyle w:val="BodyText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На другому етапі обчислено описові статистичні показники. Середнє значення та незміщену оцінку середньоквадратичного відхилення визначено за формулами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Відносну мінливість ряду оцінено коефіцієнтами варіації та осциляції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σ</m:t>
              </m:r>
            </m:num>
            <m:den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den>
          </m:f>
          <m:r>
            <m:rPr>
              <m:sty m:val="p"/>
            </m:rPr>
            <m:t>⋅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z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</m:num>
            <m:den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den>
          </m:f>
          <m:r>
            <m:rPr>
              <m:sty m:val="p"/>
            </m:rPr>
            <m:t>⋅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а форму розподілу — коефіцієнтами асиметрії та ексцесу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m:t>,</m:t>
          </m:r>
          <m:r>
            <m:t>  </m:t>
          </m:r>
          <m:sSub>
            <m:e>
              <m:r>
                <m:t>E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Близькість значень</w:t>
      </w:r>
      <w:r>
        <w:rPr>
          <w:rFonts w:ascii="Times New Roman" w:hAnsi="Times New Roman" w:cs="Times New Roman"/>
          <w:sz w:val="24"/>
        </w:rPr>
        <w:t xml:space="preserve"> </w:t>
      </w:r>
      <m:oMath>
        <m:sSub>
          <m:e>
            <m:r>
              <m:t>A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та</w:t>
      </w:r>
      <w:r>
        <w:rPr>
          <w:rFonts w:ascii="Times New Roman" w:hAnsi="Times New Roman" w:cs="Times New Roman"/>
          <w:sz w:val="24"/>
        </w:rP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до нуля свідчить про наближення емпіричного розподілу до нормального закону. Нарешті, прибутковість інструмента розраховано як відносну зміну ціни між сусідніми періодами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z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</m:num>
            <m:den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</m:den>
          </m:f>
          <m:r>
            <m:rPr>
              <m:sty m:val="p"/>
            </m:rPr>
            <m:t>⋅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з аналогічними виразами для щотижневої</w:t>
      </w:r>
      <w:r>
        <w:rPr>
          <w:rFonts w:ascii="Times New Roman" w:hAnsi="Times New Roman" w:cs="Times New Roman"/>
          <w:sz w:val="24"/>
        </w:rPr>
        <w:t xml:space="preserve"> </w:t>
      </w:r>
      <m:oMath>
        <m:sSub>
          <m:e>
            <m:r>
              <m:t>p</m:t>
            </m:r>
          </m:e>
          <m:sub>
            <m:r>
              <m:t>w</m:t>
            </m:r>
          </m:sub>
        </m:sSub>
      </m:oMath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та щомісячної</w:t>
      </w:r>
      <w:r>
        <w:rPr>
          <w:rFonts w:ascii="Times New Roman" w:hAnsi="Times New Roman" w:cs="Times New Roman"/>
          <w:sz w:val="24"/>
        </w:rP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прибутковості.</w:t>
      </w:r>
    </w:p>
    <w:bookmarkEnd w:id="10"/>
    <w:bookmarkStart w:id="14" w:name="аналіз-динаміки-ціни"/>
    <w:p>
      <w:pPr>
        <w:pStyle w:val="Heading1"/>
        <w:spacing w:before="240" w:after="120" w:line="480" w:lineRule="auto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 xml:space="preserve">Аналіз динаміки ціни</w:t>
      </w:r>
    </w:p>
    <w:p>
      <w:pPr>
        <w:pStyle w:val="FirstParagraph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Графічне представлення часового ряду цін разом із побудованими лініями тренду наведено на рисунку 1. Протягом першого півріччя 2026 року ціна акцій Meta змінювалася в діапазоні від 525,23 до 737,00 дол. США; загальна тенденція ряду була спадною, що відображають побудовані лінії тренду.</w:t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b/>
          <w:bCs/>
          <w:sz w:val="24"/>
        </w:rPr>
        <w:t xml:space="preserve">Рисунок 1</w:t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i/>
          <w:iCs/>
          <w:sz w:val="24"/>
        </w:rPr>
        <w:t xml:space="preserve">Динаміка цін на акції Meta за перше півріччя 2026 р. (щоденні значення) з лініями тренду</w:t>
      </w:r>
    </w:p>
    <w:p>
      <w:pPr>
        <w:pStyle w:val="BodyText"/>
        <w:jc w:val="center"/>
      </w:pPr>
      <w:r>
        <w:drawing>
          <wp:inline>
            <wp:extent cx="5334000" cy="2963333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report/img/META_price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i/>
          <w:iCs/>
          <w:sz w:val="24"/>
        </w:rPr>
        <w:t xml:space="preserve">Примітка.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Побудовано автором за даними Yahoo Finance (2026).</w:t>
      </w:r>
    </w:p>
    <w:p>
      <w:pPr>
        <w:pStyle w:val="BodyText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Серед трьох апроксимувальних моделей найкраще динаміку ряду описує поліноміальний тренд із коефіцієнтом детермінації</w:t>
      </w:r>
      <w:r>
        <w:rPr>
          <w:rFonts w:ascii="Times New Roman" w:hAnsi="Times New Roman" w:cs="Times New Roman"/>
          <w:sz w:val="24"/>
        </w:rP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2491</m:t>
        </m:r>
      </m:oMath>
      <w:r>
        <w:rPr>
          <w:rFonts w:ascii="Times New Roman" w:hAnsi="Times New Roman" w:cs="Times New Roman"/>
          <w:sz w:val="24"/>
        </w:rPr>
        <w:t xml:space="preserve">. Кутовий коефіцієнт лінійного тренду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5522</m:t>
        </m:r>
      </m:oMath>
      <w:r>
        <w:rPr>
          <w:rFonts w:ascii="Times New Roman" w:hAnsi="Times New Roman" w:cs="Times New Roman"/>
          <w:sz w:val="24"/>
        </w:rPr>
        <w:t xml:space="preserve">) фіксує загальний спадний нахил ціни за півріччя. Узагальнені результати трендового та описово-статистичного аналізу подано в таблиці 2.</w:t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b/>
          <w:bCs/>
          <w:sz w:val="24"/>
        </w:rPr>
        <w:t xml:space="preserve">Таблиця 2</w:t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i/>
          <w:iCs/>
          <w:sz w:val="24"/>
        </w:rPr>
        <w:t xml:space="preserve">Показники динаміки ціни акцій Meta за 2026 р.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Показник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Значення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Лінійний тренд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y = -0,5522x + 661,60; R² = 0,2435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Поліноміальний тренд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y = -0,00279x² − 0,2259x + 655,18; R² = 0,2491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Степеневий тренд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y = 692,23·x^-0,0257; R² = 0,1533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Середнє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629,29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Медіана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630,95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Мода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#Н/Д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Мінімум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525,23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Максимум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737,00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Розмах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211,76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Ексцес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0,0471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Асиметричність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-0,1334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Коефіцієнт варіації, %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5,9801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Коефіцієнт осциляції, %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33,6508</w:t>
            </w:r>
          </w:p>
        </w:tc>
      </w:tr>
    </w:tbl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i/>
          <w:iCs/>
          <w:sz w:val="24"/>
        </w:rPr>
        <w:t xml:space="preserve">Примітка.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Розраховано автором за даними Yahoo Finance (2026).</w:t>
      </w:r>
    </w:p>
    <w:p>
      <w:pPr>
        <w:pStyle w:val="BodyText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Коефіцієнт варіації цінового ряду становить 5,98 %, що свідчить про помірну мінливість значень навколо середнього, тоді як коефіцієнт осциляції 33,65 % відображає відносний розмах коливань — від 525,23 до 737,00 дол. США. Від’ємна асиметрія (-0,13) вказує на незначне переважання значень, вищих за середнє, а ексцес (0,05) — на дещо гостріший, ніж нормальний розподіл цін.</w:t>
      </w:r>
    </w:p>
    <w:bookmarkEnd w:id="14"/>
    <w:bookmarkStart w:id="30" w:name="аналіз-прибутковості"/>
    <w:p>
      <w:pPr>
        <w:pStyle w:val="Heading1"/>
        <w:spacing w:before="240" w:after="120" w:line="480" w:lineRule="auto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 xml:space="preserve">Аналіз прибутковості</w:t>
      </w:r>
    </w:p>
    <w:bookmarkStart w:id="21" w:name="щоденна-прибутковість"/>
    <w:p>
      <w:pPr>
        <w:pStyle w:val="Heading2"/>
        <w:spacing w:before="240" w:after="120" w:line="480" w:lineRule="auto"/>
        <w:jc w:val="left"/>
      </w:pPr>
      <w:r>
        <w:rPr>
          <w:rFonts w:ascii="Times New Roman" w:hAnsi="Times New Roman" w:cs="Times New Roman"/>
          <w:b/>
          <w:color w:val="000000"/>
          <w:sz w:val="26"/>
        </w:rPr>
        <w:t xml:space="preserve">Щоденна прибутковість</w:t>
      </w:r>
    </w:p>
    <w:p>
      <w:pPr>
        <w:pStyle w:val="FirstParagraph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Динаміку щоденної прибутковості акцій наведено на рисунку 2. Ряд коливається навколо нульової позначки з періодичними сплесками волатильності, найбільший з яких відповідає денній зміні близько 10,4 %.</w:t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b/>
          <w:bCs/>
          <w:sz w:val="24"/>
        </w:rPr>
        <w:t xml:space="preserve">Рисунок 2</w:t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i/>
          <w:iCs/>
          <w:sz w:val="24"/>
        </w:rPr>
        <w:t xml:space="preserve">Динаміка щоденної прибутковості акцій Meta (%, 2026 р.)</w:t>
      </w:r>
    </w:p>
    <w:p>
      <w:pPr>
        <w:pStyle w:val="BodyText"/>
        <w:jc w:val="center"/>
      </w:pPr>
      <w:r>
        <w:drawing>
          <wp:inline>
            <wp:extent cx="5334000" cy="200025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report/img/META_ret_d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i/>
          <w:iCs/>
          <w:sz w:val="24"/>
        </w:rPr>
        <w:t xml:space="preserve">Примітка.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Побудовано автором за даними Yahoo Finance (2026).</w:t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b/>
          <w:bCs/>
          <w:sz w:val="24"/>
        </w:rPr>
        <w:t xml:space="preserve">Таблиця 3</w:t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i/>
          <w:iCs/>
          <w:sz w:val="24"/>
        </w:rPr>
        <w:t xml:space="preserve">Статистичні показники щоденної прибутковості акцій Meta за 2026 р. (n = 115)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Показник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Значення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Середнє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-0,0009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Медіана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0,0000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Мода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0,0000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Мінімум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-0,0855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Максимум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0,1040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Розмах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0,1895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Ексцес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3,2953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Асиметричність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0,2837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Коефіцієнт варіації, %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-2 994,33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Коефіцієнт осциляції, %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-22 028,61</w:t>
            </w:r>
          </w:p>
        </w:tc>
      </w:tr>
    </w:tbl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i/>
          <w:iCs/>
          <w:sz w:val="24"/>
        </w:rPr>
        <w:t xml:space="preserve">Примітка.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Розраховано автором за даними Yahoo Finance (2026).</w:t>
      </w:r>
    </w:p>
    <w:p>
      <w:pPr>
        <w:pStyle w:val="BodyText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Середня щоденна прибутковість за період виявилася від’ємною та становила -0,086 %, що узгоджується зі спадним нахилом ціни. Форма розподілу прибутковості відхиляється від нормальної: ексцес (3,30) указує на гостровершинність і «важкі хвости» (лептокуртичність), а додатна асиметрія (0,28) — на наявність окремих різких додатних змін. Це наочно підтверджує і гістограма розподілу (рисунок 3).</w:t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b/>
          <w:bCs/>
          <w:sz w:val="24"/>
        </w:rPr>
        <w:t xml:space="preserve">Рисунок 3</w:t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i/>
          <w:iCs/>
          <w:sz w:val="24"/>
        </w:rPr>
        <w:t xml:space="preserve">Гістограма розподілу щоденної прибутковості акцій Meta (2026 р.)</w:t>
      </w:r>
    </w:p>
    <w:p>
      <w:pPr>
        <w:pStyle w:val="BodyText"/>
        <w:jc w:val="center"/>
      </w:pPr>
      <w:r>
        <w:drawing>
          <wp:inline>
            <wp:extent cx="5334000" cy="2518833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report/img/META_hist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8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i/>
          <w:iCs/>
          <w:sz w:val="24"/>
        </w:rPr>
        <w:t xml:space="preserve">Примітка.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Суцільною лінією показано щільність нормального розподілу з тими ж середнім і стандартним відхиленням. Побудовано автором.</w:t>
      </w:r>
    </w:p>
    <w:p>
      <w:pPr>
        <w:pStyle w:val="BodyText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Емпіричний розподіл помітно відрізняється від нормальної кривої формою центральної частини та хвостів, що типово для денної прибутковості акцій і свідчить про невипадковий характер ряду.</w:t>
      </w:r>
    </w:p>
    <w:bookmarkEnd w:id="21"/>
    <w:bookmarkStart w:id="25" w:name="щотижнева-прибутковість"/>
    <w:p>
      <w:pPr>
        <w:pStyle w:val="Heading2"/>
        <w:spacing w:before="240" w:after="120" w:line="480" w:lineRule="auto"/>
        <w:jc w:val="left"/>
      </w:pPr>
      <w:r>
        <w:rPr>
          <w:rFonts w:ascii="Times New Roman" w:hAnsi="Times New Roman" w:cs="Times New Roman"/>
          <w:b/>
          <w:color w:val="000000"/>
          <w:sz w:val="26"/>
        </w:rPr>
        <w:t xml:space="preserve">Щотижнева прибутковість</w:t>
      </w:r>
    </w:p>
    <w:p>
      <w:pPr>
        <w:pStyle w:val="FirstParagraph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Перехід до щотижневих даних згладжує частину денного «шуму» (рисунок 4). Узагальнені показники щотижневої прибутковості наведено в таблиці 4.</w:t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b/>
          <w:bCs/>
          <w:sz w:val="24"/>
        </w:rPr>
        <w:t xml:space="preserve">Рисунок 4</w:t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i/>
          <w:iCs/>
          <w:sz w:val="24"/>
        </w:rPr>
        <w:t xml:space="preserve">Динаміка щотижневої прибутковості акцій Meta (%, 2026 р.)</w:t>
      </w:r>
    </w:p>
    <w:p>
      <w:pPr>
        <w:pStyle w:val="BodyText"/>
        <w:jc w:val="center"/>
      </w:pPr>
      <w:r>
        <w:drawing>
          <wp:inline>
            <wp:extent cx="5334000" cy="200025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report/img/META_ret_w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i/>
          <w:iCs/>
          <w:sz w:val="24"/>
        </w:rPr>
        <w:t xml:space="preserve">Примітка.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Побудовано автором за даними Yahoo Finance (2026).</w:t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b/>
          <w:bCs/>
          <w:sz w:val="24"/>
        </w:rPr>
        <w:t xml:space="preserve">Таблиця 4</w:t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i/>
          <w:iCs/>
          <w:sz w:val="24"/>
        </w:rPr>
        <w:t xml:space="preserve">Статистичні показники щотижневої прибутковості акцій Meta за 2026 р. (n = 24)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Показник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Значення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Середнє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-0,0040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Медіана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-0,0058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Мода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-0,0100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Мінімум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-0,1144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Максимум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0,0964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Розмах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0,2109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Ексцес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-0,6625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Асиметричність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0,1916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Коефіцієнт варіації, %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-1 497,63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Коефіцієнт осциляції, %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-5 297,27</w:t>
            </w:r>
          </w:p>
        </w:tc>
      </w:tr>
    </w:tbl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i/>
          <w:iCs/>
          <w:sz w:val="24"/>
        </w:rPr>
        <w:t xml:space="preserve">Примітка.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Розраховано автором за даними Yahoo Finance (2026).</w:t>
      </w:r>
    </w:p>
    <w:p>
      <w:pPr>
        <w:pStyle w:val="BodyText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На тижневому горизонті середня прибутковість є від’ємної (-0,40 %), а коефіцієнт асиметрії (0,19) відображає переважання тижнів зі значним додатним результатом.</w:t>
      </w:r>
    </w:p>
    <w:bookmarkEnd w:id="25"/>
    <w:bookmarkStart w:id="29" w:name="щомісячна-прибутковість"/>
    <w:p>
      <w:pPr>
        <w:pStyle w:val="Heading2"/>
        <w:spacing w:before="240" w:after="120" w:line="480" w:lineRule="auto"/>
        <w:jc w:val="left"/>
      </w:pPr>
      <w:r>
        <w:rPr>
          <w:rFonts w:ascii="Times New Roman" w:hAnsi="Times New Roman" w:cs="Times New Roman"/>
          <w:b/>
          <w:color w:val="000000"/>
          <w:sz w:val="26"/>
        </w:rPr>
        <w:t xml:space="preserve">Щомісячна прибутковість</w:t>
      </w:r>
    </w:p>
    <w:p>
      <w:pPr>
        <w:pStyle w:val="FirstParagraph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Щомісячна прибутковість (рисунок 5, таблиця 5) розрахована на коротшій вибірці з 5 спостережень, тому її показники мають радше ілюстративний характер і не дають підстав для статистично надійних висновків.</w:t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b/>
          <w:bCs/>
          <w:sz w:val="24"/>
        </w:rPr>
        <w:t xml:space="preserve">Рисунок 5</w:t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i/>
          <w:iCs/>
          <w:sz w:val="24"/>
        </w:rPr>
        <w:t xml:space="preserve">Динаміка щомісячної прибутковості акцій Meta (%, 2026 р.)</w:t>
      </w:r>
    </w:p>
    <w:p>
      <w:pPr>
        <w:pStyle w:val="BodyText"/>
        <w:jc w:val="center"/>
      </w:pPr>
      <w:r>
        <w:drawing>
          <wp:inline>
            <wp:extent cx="5334000" cy="200025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report/img/META_ret_m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i/>
          <w:iCs/>
          <w:sz w:val="24"/>
        </w:rPr>
        <w:t xml:space="preserve">Примітка.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Побудовано автором за даними Yahoo Finance (2026).</w:t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b/>
          <w:bCs/>
          <w:sz w:val="24"/>
        </w:rPr>
        <w:t xml:space="preserve">Таблиця 5</w:t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i/>
          <w:iCs/>
          <w:sz w:val="24"/>
        </w:rPr>
        <w:t xml:space="preserve">Статистичні показники щомісячної прибутковості акцій Meta за 2026 р. (n = 5)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Показник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Значення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Середнє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-0,0425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Медіана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-0,0954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Мода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-0,1000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Мінімум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-0,1166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Максимум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0,0695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Розмах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0,1861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Ексцес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-1,6833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Асиметричність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0,4491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Коефіцієнт варіації, %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-204,99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Коефіцієнт осциляції, %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-437,55</w:t>
            </w:r>
          </w:p>
        </w:tc>
      </w:tr>
    </w:tbl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i/>
          <w:iCs/>
          <w:sz w:val="24"/>
        </w:rPr>
        <w:t xml:space="preserve">Примітка.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Розраховано автором за даними Yahoo Finance (2026).</w:t>
      </w:r>
    </w:p>
    <w:p>
      <w:pPr>
        <w:pStyle w:val="BodyText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Слід окремо зауважити, що для рядів прибутковості коефіцієнти варіації та осциляції набувають від’ємних і аномально великих за модулем значень. Це є наслідком близькості середньої прибутковості до нуля: при</w:t>
      </w:r>
      <w:r>
        <w:rPr>
          <w:rFonts w:ascii="Times New Roman" w:hAnsi="Times New Roman" w:cs="Times New Roman"/>
          <w:sz w:val="24"/>
        </w:rP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→</m:t>
        </m:r>
        <m:r>
          <m:t>0</m:t>
        </m:r>
      </m:oMath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відношення</w:t>
      </w:r>
      <w:r>
        <w:rPr>
          <w:rFonts w:ascii="Times New Roman" w:hAnsi="Times New Roman" w:cs="Times New Roman"/>
          <w:sz w:val="24"/>
        </w:rPr>
        <w:t xml:space="preserve"> </w:t>
      </w:r>
      <m:oMath>
        <m:r>
          <m:t>σ</m:t>
        </m:r>
        <m:r>
          <m:rPr>
            <m:sty m:val="p"/>
          </m:rPr>
          <m:t>/</m:t>
        </m:r>
        <m:acc>
          <m:accPr>
            <m:chr m:val="‾"/>
          </m:accPr>
          <m:e>
            <m:r>
              <m:t>x</m:t>
            </m:r>
          </m:e>
        </m:acc>
      </m:oMath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втрачає економічний зміст, тому ці показники наведено лише для повноти розрахунку, а мінливість прибутковості коректніше оцінювати за стандартним відхиленням і розмахом.</w:t>
      </w:r>
    </w:p>
    <w:bookmarkEnd w:id="29"/>
    <w:bookmarkEnd w:id="30"/>
    <w:bookmarkStart w:id="31" w:name="висновки"/>
    <w:p>
      <w:pPr>
        <w:pStyle w:val="Heading1"/>
        <w:spacing w:before="240" w:after="120" w:line="480" w:lineRule="auto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 xml:space="preserve">Висновки</w:t>
      </w:r>
    </w:p>
    <w:p>
      <w:pPr>
        <w:pStyle w:val="FirstParagraph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Опрацювання акцій Meta Platforms Inc. дало змогу пройти повний цикл роботи з ринковими даними — від вибору інструмента та імпорту часового ряду до його статистичного аналізу. У першому півріччі 2026 року ціна акцій рухалася за спадною немонотонною траєкторією, яку найкраще описує поліноміальний тренд 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2491</m:t>
        </m:r>
      </m:oMath>
      <w:r>
        <w:rPr>
          <w:rFonts w:ascii="Times New Roman" w:hAnsi="Times New Roman" w:cs="Times New Roman"/>
          <w:sz w:val="24"/>
        </w:rPr>
        <w:t xml:space="preserve">). Коефіцієнт варіації цінового ряду становить 5,98 %, тоді як розподіл щоденної прибутковості відхиляється від нормального закону за показниками асиметрії та ексцесу. Отримані результати підтверджують доцільність застосування описаної методики й узгоджуються з аналогічними розрахунками для решти обраних інструментів — Microsoft, Amazon та NVIDIA.</w:t>
      </w:r>
    </w:p>
    <w:bookmarkEnd w:id="31"/>
    <w:bookmarkStart w:id="32" w:name="список-використаних-джерел"/>
    <w:p>
      <w:pPr>
        <w:pStyle w:val="Heading1"/>
        <w:spacing w:before="240" w:after="120" w:line="480" w:lineRule="auto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 xml:space="preserve">Список використаних джерел</w:t>
      </w:r>
    </w:p>
    <w:p>
      <w:pPr>
        <w:pStyle w:val="FirstParagraph"/>
        <w:spacing w:line="480" w:lineRule="auto"/>
        <w:ind w:left="709" w:hanging="709"/>
        <w:jc w:val="left"/>
      </w:pPr>
      <w:r>
        <w:rPr>
          <w:rFonts w:ascii="Times New Roman" w:hAnsi="Times New Roman" w:cs="Times New Roman"/>
          <w:sz w:val="24"/>
        </w:rPr>
        <w:t xml:space="preserve">Арутюнян, С. С., Добриніна, Л. В. та ін. (2018).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</w:rPr>
        <w:t xml:space="preserve">Фінансовий ринок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(С. С. Арутюнян, Ред.). Гуляєва В. М.</w:t>
      </w:r>
    </w:p>
    <w:p>
      <w:pPr>
        <w:pStyle w:val="BodyText"/>
        <w:spacing w:line="480" w:lineRule="auto"/>
        <w:ind w:left="709" w:hanging="709"/>
        <w:jc w:val="left"/>
      </w:pPr>
      <w:r>
        <w:rPr>
          <w:rFonts w:ascii="Times New Roman" w:hAnsi="Times New Roman" w:cs="Times New Roman"/>
          <w:sz w:val="24"/>
        </w:rPr>
        <w:t xml:space="preserve">Горбаченко, С. А., Карпов, В. А., &amp; Шевченко-Перепьолкіна, Р. І. (2019).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</w:rPr>
        <w:t xml:space="preserve">Аналіз та прогнозування ринкової кон’юнктури</w:t>
      </w:r>
      <w:r>
        <w:rPr>
          <w:rFonts w:ascii="Times New Roman" w:hAnsi="Times New Roman" w:cs="Times New Roman"/>
          <w:sz w:val="24"/>
        </w:rPr>
        <w:t xml:space="preserve">. Кондор.</w:t>
      </w:r>
    </w:p>
    <w:p>
      <w:pPr>
        <w:pStyle w:val="BodyText"/>
        <w:spacing w:line="480" w:lineRule="auto"/>
        <w:ind w:left="709" w:hanging="709"/>
        <w:jc w:val="left"/>
      </w:pPr>
      <w:r>
        <w:rPr>
          <w:rFonts w:ascii="Times New Roman" w:hAnsi="Times New Roman" w:cs="Times New Roman"/>
          <w:sz w:val="24"/>
        </w:rPr>
        <w:t xml:space="preserve">Максишко, Н. К. (2009).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</w:rPr>
        <w:t xml:space="preserve">Моделювання економіки методами дискретної нелінійної динаміки</w:t>
      </w:r>
      <w:r>
        <w:rPr>
          <w:rFonts w:ascii="Times New Roman" w:hAnsi="Times New Roman" w:cs="Times New Roman"/>
          <w:sz w:val="24"/>
        </w:rPr>
        <w:t xml:space="preserve">. Запорізький національний університет.</w:t>
      </w:r>
    </w:p>
    <w:p>
      <w:pPr>
        <w:pStyle w:val="BodyText"/>
        <w:spacing w:line="480" w:lineRule="auto"/>
        <w:ind w:left="709" w:hanging="709"/>
        <w:jc w:val="left"/>
      </w:pPr>
      <w:r>
        <w:rPr>
          <w:rFonts w:ascii="Times New Roman" w:hAnsi="Times New Roman" w:cs="Times New Roman"/>
          <w:sz w:val="24"/>
        </w:rPr>
        <w:t xml:space="preserve">Максишко, Н. К., &amp; Шаповалова, В. О. (2018).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</w:rPr>
        <w:t xml:space="preserve">Аналіз та прогнозування: сучасні концепції в дослідженні динаміки ціни на ринку нерухомості</w:t>
      </w:r>
      <w:r>
        <w:rPr>
          <w:rFonts w:ascii="Times New Roman" w:hAnsi="Times New Roman" w:cs="Times New Roman"/>
          <w:sz w:val="24"/>
        </w:rPr>
        <w:t xml:space="preserve">. Поліграф.</w:t>
      </w:r>
    </w:p>
    <w:p>
      <w:pPr>
        <w:pStyle w:val="BodyText"/>
        <w:spacing w:line="480" w:lineRule="auto"/>
        <w:ind w:left="709" w:hanging="709"/>
        <w:jc w:val="left"/>
      </w:pPr>
      <w:r>
        <w:rPr>
          <w:rFonts w:ascii="Times New Roman" w:hAnsi="Times New Roman" w:cs="Times New Roman"/>
          <w:sz w:val="24"/>
        </w:rPr>
        <w:t xml:space="preserve">Investing.com. (2026).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</w:rPr>
        <w:t xml:space="preserve">Historical data</w:t>
      </w:r>
      <w:r>
        <w:rPr>
          <w:rFonts w:ascii="Times New Roman" w:hAnsi="Times New Roman" w:cs="Times New Roman"/>
          <w:sz w:val="24"/>
        </w:rPr>
        <w:t xml:space="preserve">. https://www.investing.com/</w:t>
      </w:r>
    </w:p>
    <w:p>
      <w:pPr>
        <w:pStyle w:val="BodyText"/>
        <w:spacing w:line="480" w:lineRule="auto"/>
        <w:ind w:left="709" w:hanging="709"/>
        <w:jc w:val="left"/>
      </w:pPr>
      <w:r>
        <w:rPr>
          <w:rFonts w:ascii="Times New Roman" w:hAnsi="Times New Roman" w:cs="Times New Roman"/>
          <w:sz w:val="24"/>
        </w:rPr>
        <w:t xml:space="preserve">Yahoo Finance. (2026).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</w:rPr>
        <w:t xml:space="preserve">Meta Platforms Inc. (META) historical prices</w:t>
      </w:r>
      <w:r>
        <w:rPr>
          <w:rFonts w:ascii="Times New Roman" w:hAnsi="Times New Roman" w:cs="Times New Roman"/>
          <w:sz w:val="24"/>
        </w:rPr>
        <w:t xml:space="preserve">. https://finance.yahoo.com/quote/META/history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480" w:lineRule="auto" w:after="0" w:before="0"/>
    </w:pPr>
    <w:rPr>
      <w:rFonts w:ascii="Times New Roman" w:hAnsi="Times New Roman" w:cs="Times New Roman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11" Type="http://schemas.openxmlformats.org/officeDocument/2006/relationships/image" Target="media/rId11.png"/><Relationship Id="rId15" Type="http://schemas.openxmlformats.org/officeDocument/2006/relationships/image" Target="media/rId15.png"/><Relationship Id="rId26" Type="http://schemas.openxmlformats.org/officeDocument/2006/relationships/image" Target="media/rId26.png"/><Relationship Id="rId22" Type="http://schemas.openxmlformats.org/officeDocument/2006/relationships/image" Target="media/rId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2026-06-18T14:49:08Z</dcterms:created>
  <dcterms:modified xsi:type="dcterms:W3CDTF">2026-06-18T14:49:08Z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