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4191f10ef2e251e809387df33c8a0bd20869e3"/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Запорізький національний університет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Кафедра економічної кібернетики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ІНДИВІДУАЛЬНИЙ ПРАКТИЧНИЙ КЕЙС № 1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Інфраструктура фінансового ринку та джерела аналізу його динаміки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(на прикладі акцій Microsoft Corporation)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Навчальна дисципліна: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«Новий аналітичний погляд на динаміку ринків»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Виконав: Гордій Олександр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Запоріжжя — 2026</w:t>
      </w:r>
    </w:p>
    <w:p>
      <w:r>
        <w:br w:type="page"/>
      </w:r>
    </w:p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Інфраструктура фінансового ринку та джерела даних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Сучасний фінансовий ринок є складною інформаційною системою, у якій ціни фінансових інструментів формуються під впливом великої кількості учасників і чинників. Інформаційну підтримку ринку забезпечують біржі, брокерські компанії, інформаційні агентства та фінансові портали, які акумулюють і публікують ретроспективні дані щодо динаміки котирувань (Арутюнян та ін., 2018). Саме доступність таких даних дає змогу досліднику отримати часові ряди цін і застосувати до них апарат статистичного аналізу.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дослідження ми обрали чотири високоліквідні акції, що входять до складу індексу S&amp;P 500, — Microsoft Corporation (MSFT), Amazon.com Inc. (AMZN), NVIDIA Corporation (NVDA) та Meta Platforms Inc. (META). Перевагу цим емітентам надано через значні обсяги торгів, які забезпечують репрезентативність і неперервність цінового ряду. У межах цієї частини роботи детально розглянуто перший інструмент — звичайні акції Microsoft Corporation, що котируються на біржі NASDAQ під тікером MSFT.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Джерелом первинних даних слугував глобальний фінансовий портал Investing.com, а також відкритий історичний архів котирувань Yahoo Finance, з якого було імпортовано щоденні ціни закриття з поправкою на корпоративні події (дроблення акцій та виплату дивідендів). Процедура отримання даних передбачала вибір інструмента, задання діапазону дат і періодичності та експорт історичних котирувань у форматі CSV із подальшим опрацюванням у середовищі обробки даних. Дослідний період охоплює перше півріччя 2026 року — з 2026-01-02 до 2026-06-18, що відповідає 116 торговим дням. Фрагмент імпортованого часового ряду наведено в таблиці 1.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Фрагмент імпортованого часового ряду цін закриття акцій Microsoft Corp. (дол. США)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Дата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Ціна закриття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02.01.2026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470,84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05.01.2026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470,75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06.01.2026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476,39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07.01.2026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481,33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08.01.2026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475,99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12.06.2026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390,74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15.06.2026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399,76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16.06.2026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393,83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17.06.2026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378,91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18.06.2026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375,55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Наведено перші та останні п’ять спостережень вибірки. Складено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Позначимо досліджуваний часовий ряд як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m</m:t>
                </m:r>
              </m:sub>
            </m:sSub>
          </m:e>
        </m:bar>
        <m:r>
          <m:rPr>
            <m:sty m:val="p"/>
          </m:rPr>
          <m:t>⟩</m:t>
        </m:r>
      </m:oMath>
      <w:r>
        <w:rPr>
          <w:rFonts w:ascii="Times New Roman" w:hAnsi="Times New Roman" w:cs="Times New Roman"/>
          <w:sz w:val="24"/>
        </w:rPr>
        <w:t xml:space="preserve">, 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ціна закриття акції за торговий день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116</m:t>
            </m:r>
          </m:e>
        </m:bar>
      </m:oMath>
      <w:r>
        <w:rPr>
          <w:rFonts w:ascii="Times New Roman" w:hAnsi="Times New Roman" w:cs="Times New Roman"/>
          <w:sz w:val="24"/>
        </w:rPr>
        <w:t xml:space="preserve">;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відповідно щотижневі та щомісячні значення ціни, агреговані як ціна останнього торгового дня періоду.</w:t>
      </w:r>
    </w:p>
    <w:bookmarkEnd w:id="9"/>
    <w:bookmarkStart w:id="10" w:name="методика-статистичного-аналізу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Методика статистичного аналізу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характеристики динаміки ціни застосовано поєднання трендового та описово-статистичного аналізу, що узгоджується з підходами, викладеними в роботах Максишко (2009) та Максишко і Шаповалової (2018). На першому етапі тенденцію часового ряду апроксимовано трьома типами трендів — лінійним, поліноміальним (другого степеня) та степеневим: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Якість апроксимації оцінено за коефіцієнтом детермінації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фактичне значення ціни,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модельне значення,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середнє ряду.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другому етапі обчислено описові статистичні показники. Середнє значення та незміщену оцінку середньоквадратичного відхилення визначено за формулами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Відносну мінливість ряду оцінено коефіцієнтами варіації та осциляції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а форму розподілу — коефіцієнтами асиметрії та ексцесу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Близькість значень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 нуля свідчить про наближення емпіричного розподілу до нормального закону. Нарешті, прибутковість інструмента розраховано як відносну зміну ціни між сусідніми періодами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з аналогічними виразами для щотижневої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 щомісячної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прибутковості.</w:t>
      </w:r>
    </w:p>
    <w:bookmarkEnd w:id="10"/>
    <w:bookmarkStart w:id="14" w:name="аналіз-динаміки-цін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динаміки ціни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Графічне представлення часового ряду цін разом із побудованими лініями тренду наведено на рисунку 1. Протягом першого півріччя 2026 року ціна акцій Microsoft демонструвала виражену хвилеподібну поведінку: після зниження в першій третині періоду до мінімуму близько 356,00 дол. США котирування частково відновилися, проте до завершального тижня знову опустилися, не подолавши рівень початку року.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цін на акції Microsoft Corp. за перше півріччя 2026 р. (щоденні значення) з лініями тренду</w:t>
      </w:r>
    </w:p>
    <w:p>
      <w:pPr>
        <w:pStyle w:val="BodyText"/>
        <w:jc w:val="center"/>
      </w:pPr>
      <w:r>
        <w:drawing>
          <wp:inline>
            <wp:extent cx="5334000" cy="296333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eport/img/fig1_pri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 трьох апроксимувальних моделей найкраще динаміку ряду описує поліноміальний тренд: його коефіцієнт детермінації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5044</m:t>
        </m:r>
      </m:oMath>
      <w:r>
        <w:rPr>
          <w:rFonts w:ascii="Times New Roman" w:hAnsi="Times New Roman" w:cs="Times New Roman"/>
          <w:sz w:val="24"/>
        </w:rPr>
        <w:t xml:space="preserve">) помітно перевищує відповідні значення для степеневої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3641</m:t>
        </m:r>
      </m:oMath>
      <w:r>
        <w:rPr>
          <w:rFonts w:ascii="Times New Roman" w:hAnsi="Times New Roman" w:cs="Times New Roman"/>
          <w:sz w:val="24"/>
        </w:rPr>
        <w:t xml:space="preserve">) та лінійної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1389</m:t>
        </m:r>
      </m:oMath>
      <w:r>
        <w:rPr>
          <w:rFonts w:ascii="Times New Roman" w:hAnsi="Times New Roman" w:cs="Times New Roman"/>
          <w:sz w:val="24"/>
        </w:rPr>
        <w:t xml:space="preserve">) моделей. Низька пояснювальна здатність лінійного тренду закономірна для немонотонного ряду, водночас від’ємний кутовий коефіцієнт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3307</m:t>
        </m:r>
      </m:oMath>
      <w:r>
        <w:rPr>
          <w:rFonts w:ascii="Times New Roman" w:hAnsi="Times New Roman" w:cs="Times New Roman"/>
          <w:sz w:val="24"/>
        </w:rPr>
        <w:t xml:space="preserve">) фіксує загальний спадний нахил ціни за півріччя. Узагальнені результати трендового та описово-статистичного аналізу подано в таблиці 2.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Показники динаміки ціни акцій Microsoft Corp. за 2026 р.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Лінійний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-0,3307x + 432,40; R² = 0,1389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Поліноміальний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0,01791x² − 2,4262x + 473,61; R² = 0,5044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Степеневий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486,74·x^-0,0441; R² = 0,3641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413,05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410,06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411,77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356,00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481,33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125,33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-0,1199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0,5893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7,2233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30,3418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Описова статистика підтверджує помірну однорідність цінового ряду: коефіцієнт варіації становить лише 7,22 %, тобто розкид значень навколо середнього є невеликим. Водночас коефіцієнт осциляції 30,34 % указує на відчутний абсолютний розмах коливань — від 356,00 до 481,33 дол. США. Додатна асиметрія (0,59) свідчить про незначне переважання значень, нижчих за середнє, а від’ємний ексцес (-0,12) — про дещо пласкіший, ніж нормальний, розподіл цін.</w:t>
      </w:r>
    </w:p>
    <w:bookmarkEnd w:id="14"/>
    <w:bookmarkStart w:id="30" w:name="аналіз-прибутковості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прибутковості</w:t>
      </w:r>
    </w:p>
    <w:bookmarkStart w:id="21" w:name="щоден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Щоденна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Динаміку щоденної прибутковості акцій наведено на рисунку 2. Ряд коливається навколо нульової позначки з періодичними сплесками волатильності, найбільший з яких відповідає денному падінню майже на 10,0 %.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щоденної прибутковості акцій Microsoft Corp. 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port/img/fig2_ret_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щоденної прибутковості акцій Microsoft Corp. за 2026 р. (n = 115)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-0,0017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-0,0016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-0,0999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0,0545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0,1544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3,5853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-0,7321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-1 190,55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-8 835,79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Середня щоденна прибутковість за період виявилася від’ємною та становила -0,175 %, що узгоджується зі спадним нахилом ціни. Форма розподілу прибутковості суттєво відхиляється від нормальної: додатний ексцес (3,59) указує на гостровершинність і «важкі хвости», а від’ємна асиметрія (-0,73) — на переважання різких від’ємних змін над додатними. Це наочно підтверджує і гістограма розподілу (рисунок 3).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Гістограма розподілу щоденної прибутковості акцій Microsoft Corp. (2026 р.)</w:t>
      </w:r>
    </w:p>
    <w:p>
      <w:pPr>
        <w:pStyle w:val="BodyText"/>
        <w:jc w:val="center"/>
      </w:pPr>
      <w:r>
        <w:drawing>
          <wp:inline>
            <wp:extent cx="5334000" cy="25188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report/img/fig5_h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Суцільною лінією показано щільність нормального розподілу з тими ж середнім і стандартним відхиленням. Побудовано автором.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Емпіричний розподіл помітно вищий і вужчий за нормальну криву в центральній частині та має товщі хвости, що типово для денної прибутковості акцій і свідчить про невипадковий характер ряду.</w:t>
      </w:r>
    </w:p>
    <w:bookmarkEnd w:id="21"/>
    <w:bookmarkStart w:id="25" w:name="щотижнев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Щотижнева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Перехід до щотижневих даних згладжує частину денного «шуму» (рисунок 4). Узагальнені показники щотижневої прибутковості наведено в таблиці 4.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щотижневої прибутковості акцій Microsoft Corp. 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/img/fig3_ret_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щотижневої прибутковості акцій Microsoft Corp. за 2026 р. (n = 24)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-0,0082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-0,0074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-0,0100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-0,0765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0,1400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0,2165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1,3398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0,9970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-617,70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-2 646,88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тижневому горизонті розподіл стає більш асиметричним (коефіцієнт асиметрії 1,00), що відображає наявність окремих тижнів зі значним додатним результатом на тлі загалом від’ємної середньої прибутковості (-0,82 %).</w:t>
      </w:r>
    </w:p>
    <w:bookmarkEnd w:id="25"/>
    <w:bookmarkStart w:id="29" w:name="щомісяч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Щомісячна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Щомісячна прибутковість (рисунок 5, таблиця 5) розрахована на коротшій вибірці з 5 спостережень, тому її показники мають радше ілюстративний характер і не дають підстав для статистично надійних висновків.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щомісячної прибутковості акцій Microsoft Corp. 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/img/fig4_ret_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щомісячної прибутковості акцій Microsoft Corp. за 2026 р. (n = 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-0,0201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-0,0575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#Н/Д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-0,1659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0,1065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0,2724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-1,5777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0,0649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-598,10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-1 356,20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Слід окремо зауважити, що для рядів прибутковості коефіцієнти варіації та осциляції набувають від’ємних і аномально великих за модулем значень. Це є наслідком близькості середньої прибутковості до нуля: при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відношення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σ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втрачає економічний зміст, тому ці показники наведено лише для повноти розрахунку, а мінливість прибутковості коректніше оцінювати за стандартним відхиленням і розмахом.</w:t>
      </w:r>
    </w:p>
    <w:bookmarkEnd w:id="29"/>
    <w:bookmarkEnd w:id="30"/>
    <w:bookmarkStart w:id="31" w:name="висновк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Висновки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Опрацювання акцій Microsoft Corporation дало змогу пройти повний цикл роботи з ринковими даними — від вибору інструмента та імпорту часового ряду до його статистичного аналізу. У першому півріччі 2026 року ціна акцій рухалася за спадною немонотонною траєкторією, яку найкраще описує поліноміальний тренд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5044</m:t>
        </m:r>
      </m:oMath>
      <w:r>
        <w:rPr>
          <w:rFonts w:ascii="Times New Roman" w:hAnsi="Times New Roman" w:cs="Times New Roman"/>
          <w:sz w:val="24"/>
        </w:rPr>
        <w:t xml:space="preserve">). Ціновий ряд є відносно однорідним (коефіцієнт варіації 7,22 %), тоді як розподіл щоденної прибутковості суттєво відхиляється від нормального закону через гостровершинність і від’ємну асиметрію. Отримані результати підтверджують доцільність застосування описаної методики й слугуватимуть базою для порівняльного аналізу решти обраних інструментів — Amazon, NVIDIA та Meta.</w:t>
      </w:r>
    </w:p>
    <w:bookmarkEnd w:id="31"/>
    <w:bookmarkStart w:id="32" w:name="список-використаних-джерел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Список використаних джерел</w:t>
      </w:r>
    </w:p>
    <w:p>
      <w:pPr>
        <w:pStyle w:val="FirstParagraph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Арутюнян, С. С., Добриніна, Л. В. та ін.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Фінансовий ринок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(С. С. Арутюнян, Ред.). Гуляєва В. М.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Горбаченко, С. А., Карпов, В. А., &amp; Шевченко-Перепьолкіна, Р. І. (2019).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 ринкової кон’юнктури</w:t>
      </w:r>
      <w:r>
        <w:rPr>
          <w:rFonts w:ascii="Times New Roman" w:hAnsi="Times New Roman" w:cs="Times New Roman"/>
          <w:sz w:val="24"/>
        </w:rPr>
        <w:t xml:space="preserve">. Кондор.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 (2009).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Моделювання економіки методами дискретної нелінійної динаміки</w:t>
      </w:r>
      <w:r>
        <w:rPr>
          <w:rFonts w:ascii="Times New Roman" w:hAnsi="Times New Roman" w:cs="Times New Roman"/>
          <w:sz w:val="24"/>
        </w:rPr>
        <w:t xml:space="preserve">. Запорізький національний університет.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К., &amp; Шаповалова, В. О.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прогнозування: сучасні концепції в дослідженні динаміки ціни на ринку нерухомості</w:t>
      </w:r>
      <w:r>
        <w:rPr>
          <w:rFonts w:ascii="Times New Roman" w:hAnsi="Times New Roman" w:cs="Times New Roman"/>
          <w:sz w:val="24"/>
        </w:rPr>
        <w:t xml:space="preserve">. Поліграф.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Investing.com.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Historical data</w:t>
      </w:r>
      <w:r>
        <w:rPr>
          <w:rFonts w:ascii="Times New Roman" w:hAnsi="Times New Roman" w:cs="Times New Roman"/>
          <w:sz w:val="24"/>
        </w:rPr>
        <w:t xml:space="preserve">. https://www.investing.com/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Yahoo Finance.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Microsoft Corporation (MSFT) historical prices</w:t>
      </w:r>
      <w:r>
        <w:rPr>
          <w:rFonts w:ascii="Times New Roman" w:hAnsi="Times New Roman" w:cs="Times New Roman"/>
          <w:sz w:val="24"/>
        </w:rPr>
        <w:t xml:space="preserve">. https://finance.yahoo.com/quote/MSFT/history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 w:before="0"/>
    </w:pPr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2026-06-18T14:20:06Z</dcterms:created>
  <dcterms:modified xsi:type="dcterms:W3CDTF">2026-06-18T14:20:06Z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