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4191f10ef2e251e809387df33c8a0bd20869e3"/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Запорізький національний університет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Кафедра економічної кібернетики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ІНДИВІДУАЛЬНИЙ ПРАКТИЧНИЙ КЕЙС № 1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Інфраструктура фінансового ринку та джерела аналізу його динаміки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(на прикладі акцій NVIDIA Corporation)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Навчальна дисципліна: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«Новий аналітичний погляд на динаміку ринків»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Виконав: Гордій Олександр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Запоріжжя — 2026</w:t>
      </w:r>
    </w:p>
    <w:p>
      <w:r>
        <w:br w:type="page"/>
      </w:r>
    </w:p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Інфраструктура фінансового ринку та джерела даних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Сучасний фінансовий ринок є складною інформаційною системою, у якій ціни фінансових інструментів формуються під впливом великої кількості учасників і чинників. Інформаційну підтримку ринку забезпечують біржі, брокерські компанії, інформаційні агентства та фінансові портали, які акумулюють і публікують ретроспективні дані щодо динаміки котирувань (Арутюнян та ін., 2018). Саме доступність таких даних дає змогу досліднику отримати часові ряди цін і застосувати до них апарат статистичного аналізу.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дослідження ми обрали чотири високоліквідні акції, що входять до складу індексу S&amp;P 500, — Microsoft Corporation (MSFT), Amazon.com Inc. (AMZN), NVIDIA Corporation (NVDA) та Meta Platforms Inc. (META). Перевагу цим емітентам надано через значні обсяги торгів, які забезпечують репрезентативність і неперервність цінового ряду. У межах цієї частини роботи детально розглянуто інструмент — звичайні акції NVIDIA Corporation, що котируються на біржі NASDAQ під тікером NVDA.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Джерелом первинних даних слугував глобальний фінансовий портал Investing.com, а також відкритий історичний архів котирувань Yahoo Finance, з якого було імпортовано щоденні ціни закриття з поправкою на корпоративні події (дроблення акцій та виплату дивідендів). Процедура отримання даних передбачала вибір інструмента, задання діапазону дат і періодичності та експорт історичних котирувань у форматі CSV із подальшим опрацюванням у середовищі обробки даних. Дослідний період охоплює перше півріччя 2026 року — з 2026-01-02 до 2026-06-18, що відповідає 116 торговим дням. Фрагмент імпортованого часового ряду наведено в таблиці 1.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Фрагмент імпортованого часового ряду цін закриття акцій NVIDIA (дол. США)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Дата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Ціна закриття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02.01.2026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188,62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05.01.2026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187,89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06.01.2026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187,01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07.01.2026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188,88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08.01.2026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184,81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12.06.2026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205,19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15.06.2026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212,45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16.06.2026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207,41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17.06.2026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204,65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18.06.2026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207,71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Наведено перші та останні п’ять спостережень вибірки. Складено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Позначимо досліджуваний часовий ряд як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m</m:t>
                </m:r>
              </m:sub>
            </m:sSub>
          </m:e>
        </m:bar>
        <m:r>
          <m:rPr>
            <m:sty m:val="p"/>
          </m:rPr>
          <m:t>⟩</m:t>
        </m:r>
      </m:oMath>
      <w:r>
        <w:rPr>
          <w:rFonts w:ascii="Times New Roman" w:hAnsi="Times New Roman" w:cs="Times New Roman"/>
          <w:sz w:val="24"/>
        </w:rPr>
        <w:t xml:space="preserve">, 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ціна закриття акції за торговий день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116</m:t>
            </m:r>
          </m:e>
        </m:bar>
      </m:oMath>
      <w:r>
        <w:rPr>
          <w:rFonts w:ascii="Times New Roman" w:hAnsi="Times New Roman" w:cs="Times New Roman"/>
          <w:sz w:val="24"/>
        </w:rPr>
        <w:t xml:space="preserve">;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відповідно щотижневі та щомісячні значення ціни, агреговані як ціна останнього торгового дня періоду.</w:t>
      </w:r>
    </w:p>
    <w:bookmarkEnd w:id="9"/>
    <w:bookmarkStart w:id="10" w:name="методика-статистичного-аналізу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Методика статистичного аналізу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характеристики динаміки ціни застосовано поєднання трендового та описово-статистичного аналізу, що узгоджується з підходами, викладеними в роботах Максишко (2009) та Максишко і Шаповалової (2018). На першому етапі тенденцію часового ряду апроксимовано трьома типами трендів — лінійним, поліноміальним (другого степеня) та степеневим: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Якість апроксимації оцінено за коефіцієнтом детермінації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фактичне значення ціни,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модельне значення,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середнє ряду.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другому етапі обчислено описові статистичні показники. Середнє значення та незміщену оцінку середньоквадратичного відхилення визначено за формулами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Відносну мінливість ряду оцінено коефіцієнтами варіації та осциляції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а форму розподілу — коефіцієнтами асиметрії та ексцесу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Близькість значень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 нуля свідчить про наближення емпіричного розподілу до нормального закону. Нарешті, прибутковість інструмента розраховано як відносну зміну ціни між сусідніми періодами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з аналогічними виразами для щотижневої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 щомісячної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прибутковості.</w:t>
      </w:r>
    </w:p>
    <w:bookmarkEnd w:id="10"/>
    <w:bookmarkStart w:id="14" w:name="аналіз-динаміки-цін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динаміки ціни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Графічне представлення часового ряду цін разом із побудованими лініями тренду наведено на рисунку 1. Протягом першого півріччя 2026 року ціна акцій NVIDIA змінювалася в діапазоні від 164,98 до 235,47 дол. США; загальна тенденція ряду була висхідною, що відображають побудовані лінії тренду.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цін на акції NVIDIA за перше півріччя 2026 р. (щоденні значення) з лініями тренду</w:t>
      </w:r>
    </w:p>
    <w:p>
      <w:pPr>
        <w:pStyle w:val="BodyText"/>
        <w:jc w:val="center"/>
      </w:pPr>
      <w:r>
        <w:drawing>
          <wp:inline>
            <wp:extent cx="5334000" cy="296333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eport/img/NVDA_pri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 трьох апроксимувальних моделей найкраще динаміку ряду описує поліноміальний тренд із коефіцієнтом детермінації</w:t>
      </w:r>
      <w:r>
        <w:rPr>
          <w:rFonts w:ascii="Times New Roman" w:hAnsi="Times New Roman" w:cs="Times New Roman"/>
          <w:sz w:val="24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6019</m:t>
        </m:r>
      </m:oMath>
      <w:r>
        <w:rPr>
          <w:rFonts w:ascii="Times New Roman" w:hAnsi="Times New Roman" w:cs="Times New Roman"/>
          <w:sz w:val="24"/>
        </w:rPr>
        <w:t xml:space="preserve">. Кутовий коефіцієнт лінійного тренду (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3252</m:t>
        </m:r>
      </m:oMath>
      <w:r>
        <w:rPr>
          <w:rFonts w:ascii="Times New Roman" w:hAnsi="Times New Roman" w:cs="Times New Roman"/>
          <w:sz w:val="24"/>
        </w:rPr>
        <w:t xml:space="preserve">) фіксує загальний висхідний нахил ціни за півріччя. Узагальнені результати трендового та описово-статистичного аналізу подано в таблиці 2.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Показники динаміки ціни акцій NVIDIA за 2026 р.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Лінійний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0,3252x + 175,12; R² = 0,4957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Поліноміальний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0,00503x² − 0,2630x + 186,69; R² = 0,6019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Степеневий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165,80·x^0,0409; R² = 0,2542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194,14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188,75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#Н/Д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164,98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235,47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70,49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-0,6761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0,5284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8,0011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36,3070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Коефіцієнт варіації цінового ряду становить 8,00 %, що свідчить про помірну мінливість значень навколо середнього, тоді як коефіцієнт осциляції 36,31 % відображає відносний розмах коливань — від 164,98 до 235,47 дол. США. Додатна асиметрія (0,53) вказує на незначне переважання значень, нижчих за середнє, а ексцес (-0,68) — на дещо пласкіший, ніж нормальний розподіл цін.</w:t>
      </w:r>
    </w:p>
    <w:bookmarkEnd w:id="14"/>
    <w:bookmarkStart w:id="30" w:name="аналіз-прибутковості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прибутковості</w:t>
      </w:r>
    </w:p>
    <w:bookmarkStart w:id="21" w:name="щоден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Щоденна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Динаміку щоденної прибутковості акцій наведено на рисунку 2. Ряд коливається навколо нульової позначки з періодичними сплесками волатильності, найбільший з яких відповідає денній зміні близько 7,9 %.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щоденної прибутковості акцій NVIDIA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port/img/NVDA_ret_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щоденної прибутковості акцій NVIDIA за 2026 р. (n = 115)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0,0011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0,0016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0,0100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-0,0620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0,0787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0,1407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0,7146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0,1703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2 145,09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12 480,25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Середня щоденна прибутковість за період виявилася додатною та становила 0,113 %, що узгоджується з висхідним нахилом ціни. Форма розподілу прибутковості відхиляється від нормальної: ексцес (0,71) указує на гостровершинність і «важкі хвости» (лептокуртичність), а додатна асиметрія (0,17) — на наявність окремих різких додатних змін. Це наочно підтверджує і гістограма розподілу (рисунок 3).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Гістограма розподілу щоденної прибутковості акцій NVIDIA (2026 р.)</w:t>
      </w:r>
    </w:p>
    <w:p>
      <w:pPr>
        <w:pStyle w:val="BodyText"/>
        <w:jc w:val="center"/>
      </w:pPr>
      <w:r>
        <w:drawing>
          <wp:inline>
            <wp:extent cx="5334000" cy="25188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report/img/NVDA_h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Суцільною лінією показано щільність нормального розподілу з тими ж середнім і стандартним відхиленням. Побудовано автором.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Емпіричний розподіл помітно відрізняється від нормальної кривої формою центральної частини та хвостів, що типово для денної прибутковості акцій і свідчить про невипадковий характер ряду.</w:t>
      </w:r>
    </w:p>
    <w:bookmarkEnd w:id="21"/>
    <w:bookmarkStart w:id="25" w:name="щотижнев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Щотижнева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Перехід до щотижневих даних згладжує частину денного «шуму» (рисунок 4). Узагальнені показники щотижневої прибутковості наведено в таблиці 4.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щотижневої прибутковості акцій NVIDIA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/img/NVDA_ret_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щотижневої прибутковості акцій NVIDIA за 2026 р. (n = 24)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0,0048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0,0055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0,0100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-0,0665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0,0844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0,1509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-0,8538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0,2530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847,97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3 135,01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тижневому горизонті середня прибутковість є додатної (0,48 %), а коефіцієнт асиметрії (0,25) відображає переважання тижнів зі значним додатним результатом.</w:t>
      </w:r>
    </w:p>
    <w:bookmarkEnd w:id="25"/>
    <w:bookmarkStart w:id="29" w:name="щомісяч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Щомісячна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Щомісячна прибутковість (рисунок 5, таблиця 5) розрахована на коротшій вибірці з 5 спостережень, тому її показники мають радше ілюстративний характер і не дають підстав для статистично надійних висновків.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щомісячної прибутковості акцій NVIDIA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/img/NVDA_ret_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щомісячної прибутковості акцій NVIDIA за 2026 р. (n = 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0,0197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-0,0151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-0,0200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-0,0729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0,1443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0,2173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-0,9654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0,5282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424,81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1 102,28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Слід окремо зауважити, що для рядів прибутковості коефіцієнти варіації та осциляції набувають аномально великих за модулем значень. Це є наслідком близькості середньої прибутковості до нуля: при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відношення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σ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втрачає економічний зміст, тому ці показники наведено лише для повноти розрахунку, а мінливість прибутковості коректніше оцінювати за стандартним відхиленням і розмахом.</w:t>
      </w:r>
    </w:p>
    <w:bookmarkEnd w:id="29"/>
    <w:bookmarkEnd w:id="30"/>
    <w:bookmarkStart w:id="31" w:name="висновк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Висновки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Опрацювання акцій NVIDIA Corporation дало змогу пройти повний цикл роботи з ринковими даними — від вибору інструмента та імпорту часового ряду до його статистичного аналізу. У першому півріччі 2026 року ціна акцій рухалася за висхідною немонотонною траєкторією, яку найкраще описує поліноміальний тренд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6019</m:t>
        </m:r>
      </m:oMath>
      <w:r>
        <w:rPr>
          <w:rFonts w:ascii="Times New Roman" w:hAnsi="Times New Roman" w:cs="Times New Roman"/>
          <w:sz w:val="24"/>
        </w:rPr>
        <w:t xml:space="preserve">). Коефіцієнт варіації цінового ряду становить 8,00 %, тоді як розподіл щоденної прибутковості відхиляється від нормального закону за показниками асиметрії та ексцесу. Отримані результати підтверджують доцільність застосування описаної методики й узгоджуються з аналогічними розрахунками для решти обраних інструментів — Microsoft, Amazon та Meta.</w:t>
      </w:r>
    </w:p>
    <w:bookmarkEnd w:id="31"/>
    <w:bookmarkStart w:id="32" w:name="список-використаних-джерел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Список використаних джерел</w:t>
      </w:r>
    </w:p>
    <w:p>
      <w:pPr>
        <w:pStyle w:val="FirstParagraph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Арутюнян, С. С., Добриніна, Л. В. та ін.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Фінансовий ринок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(С. С. Арутюнян, Ред.). Гуляєва В. М.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Горбаченко, С. А., Карпов, В. А., &amp; Шевченко-Перепьолкіна, Р. І. (2019).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 ринкової кон’юнктури</w:t>
      </w:r>
      <w:r>
        <w:rPr>
          <w:rFonts w:ascii="Times New Roman" w:hAnsi="Times New Roman" w:cs="Times New Roman"/>
          <w:sz w:val="24"/>
        </w:rPr>
        <w:t xml:space="preserve">. Кондор.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 (2009).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Моделювання економіки методами дискретної нелінійної динаміки</w:t>
      </w:r>
      <w:r>
        <w:rPr>
          <w:rFonts w:ascii="Times New Roman" w:hAnsi="Times New Roman" w:cs="Times New Roman"/>
          <w:sz w:val="24"/>
        </w:rPr>
        <w:t xml:space="preserve">. Запорізький національний університет.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К., &amp; Шаповалова, В. О.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прогнозування: сучасні концепції в дослідженні динаміки ціни на ринку нерухомості</w:t>
      </w:r>
      <w:r>
        <w:rPr>
          <w:rFonts w:ascii="Times New Roman" w:hAnsi="Times New Roman" w:cs="Times New Roman"/>
          <w:sz w:val="24"/>
        </w:rPr>
        <w:t xml:space="preserve">. Поліграф.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Investing.com.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Historical data</w:t>
      </w:r>
      <w:r>
        <w:rPr>
          <w:rFonts w:ascii="Times New Roman" w:hAnsi="Times New Roman" w:cs="Times New Roman"/>
          <w:sz w:val="24"/>
        </w:rPr>
        <w:t xml:space="preserve">. https://www.investing.com/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Yahoo Finance.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NVIDIA Corporation (NVDA) historical prices</w:t>
      </w:r>
      <w:r>
        <w:rPr>
          <w:rFonts w:ascii="Times New Roman" w:hAnsi="Times New Roman" w:cs="Times New Roman"/>
          <w:sz w:val="24"/>
        </w:rPr>
        <w:t xml:space="preserve">. https://finance.yahoo.com/quote/NVDA/history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 w:before="0"/>
    </w:pPr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26" Type="http://schemas.openxmlformats.org/officeDocument/2006/relationships/image" Target="media/rId26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2026-06-18T14:49:07Z</dcterms:created>
  <dcterms:modified xsi:type="dcterms:W3CDTF">2026-06-18T14:49:07Z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