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22B13" w14:textId="77777777" w:rsidR="00433348" w:rsidRPr="00433348" w:rsidRDefault="00433348" w:rsidP="00433348">
      <w:pPr>
        <w:shd w:val="clear" w:color="auto" w:fill="F8F9FA"/>
        <w:spacing w:after="100" w:afterAutospacing="1" w:line="240" w:lineRule="auto"/>
        <w:rPr>
          <w:rFonts w:ascii="Open Sans" w:eastAsia="Times New Roman" w:hAnsi="Open Sans" w:cs="Open Sans"/>
          <w:color w:val="000000"/>
          <w:kern w:val="0"/>
          <w:lang w:eastAsia="en-GB"/>
          <w14:ligatures w14:val="none"/>
        </w:rPr>
      </w:pPr>
      <w:r w:rsidRPr="00433348">
        <w:rPr>
          <w:rFonts w:ascii="Open Sans" w:eastAsia="Times New Roman" w:hAnsi="Open Sans" w:cs="Open Sans"/>
          <w:i/>
          <w:iCs/>
          <w:color w:val="000000"/>
          <w:kern w:val="0"/>
          <w:lang w:eastAsia="en-GB"/>
          <w14:ligatures w14:val="none"/>
        </w:rPr>
        <w:t>Презентація міжнародної інвестиційної стратегії однієї з ТНК за вибором (max 20 балів)</w:t>
      </w:r>
    </w:p>
    <w:p/>
    <w:p>
      <w:pPr>
        <w:jc w:val="center"/>
      </w:pPr>
      <w:r>
        <w:rPr>
          <w:b/>
          <w:sz w:val="28"/>
        </w:rPr>
        <w:t>ПРЕЗЕНТАЦІЯ МІЖНАРОДНОЇ ІНВЕСТИЦІЙНОЇ СТРАТЕГІЇ КОМПАНІЇ NESTLÉ S.A.</w:t>
      </w:r>
    </w:p>
    <w:p/>
    <w:p>
      <w:r>
        <w:rPr>
          <w:b/>
          <w:sz w:val="24"/>
        </w:rPr>
        <w:t>1. Загальна характеристика корпорації Nestlé S.A.</w:t>
      </w:r>
    </w:p>
    <w:p>
      <w:r>
        <w:t>Nestlé S.A. — швейцарська транснаціональна корпорація, заснована у 1866 році Анрі Нестле у місті Веве, Швейцарія. На сьогодні Nestlé є найбільшою у світі компанією з виробництва продуктів харчування та напоїв. Корпорація здійснює діяльність у понад 180 країнах світу, має більше 350 заводів та близько 270 000 працівників. Річний дохід компанії перевищує 90 млрд швейцарських франків. Nestlé володіє більш ніж 2000 брендів, серед яких такі всесвітньо відомі марки, як Nescafé, KitKat, Maggi, Purina, Perrier, Gerber та інші. Відповідно до критеріїв належності корпорації до ТНК, Nestlé повністю відповідає усім ознакам транснаціональної корпорації: здійснює виробничу діяльність у багатьох країнах, має розгалужену мережу дочірніх компаній та філій, а індекс транснаціоналізації компанії перевищує 80%.</w:t>
      </w:r>
    </w:p>
    <w:p>
      <w:r>
        <w:t>Nestlé є однією з найбільших ТНК, що діють на території України. Як зазначається у лекційному матеріалі, серед найбільших ТНК, що працюють в Україні, — Coca-Cola, Daewoo, McDonald's, PepsiCo та Nestlé. Компанія представлена на українському ринку через виробничі потужності та розвинену дистриб'юторську мережу.</w:t>
      </w:r>
    </w:p>
    <w:p>
      <w:r>
        <w:rPr>
          <w:b/>
          <w:sz w:val="24"/>
        </w:rPr>
        <w:t>2. Стратегія диверсифікації інвестицій Nestlé</w:t>
      </w:r>
    </w:p>
    <w:p>
      <w:r>
        <w:t>Інвестиційна стратегія Nestlé базується на принципах глобальної диверсифікації, що включає як географічну, так і секторальну (галузеву) диверсифікацію. Відповідно до класифікації міжнародних інвестиційних стратегій, наведеної у лекційному матеріалі (Тема 4), стратегію Nestlé можна охарактеризувати як збалансовану інвестиційну стратегію, що поєднує елементи стратегій прямого (реального) та портфельного інвестування.</w:t>
      </w:r>
    </w:p>
    <w:p>
      <w:r>
        <w:t>Географічна диверсифікація. Nestlé реалізує стратегію глобальної географічної присутності, розподіляючи інвестиції між трьома основними зонами: Європа та Близький Схід (близько 30% доходів), Америка (близько 45% доходів) та Азія, Океанія й Африка (близько 25% доходів). Така географічна структура дозволяє компенсувати ризики окремих регіонів та використовувати конкурентні переваги різних ринків. Як зазначено у лекційних матеріалах, глобалізація світової економіки створює передумови для розгалуження діяльності великих компаній та вкладення коштів у компанії, розташовані в інших країнах, що сприяє відкриттю нових підприємств, залученню дешевшої робочої сили та збільшенню обсягів виробництва.</w:t>
      </w:r>
    </w:p>
    <w:p>
      <w:r>
        <w:t>Секторальна диверсифікація. Nestlé здійснює інвестиції у широкий спектр галузей харчової промисловості та суміжних секторів: виробництво напоїв (кава, вода, молочні продукти), кулінарні продукти, дитяче харчування, кондитерські вироби, корми для домашніх тварин, медичне харчування та косметика (L'Oréal). Такий підхід відповідає принципу диверсифікації інвестиційного портфеля, що дозволяє знизити загальний рівень інвестиційного ризику за рахунок розподілу вкладень між різними галузями з різною циклічністю.</w:t>
      </w:r>
    </w:p>
    <w:p>
      <w:r>
        <w:rPr>
          <w:b/>
          <w:sz w:val="24"/>
        </w:rPr>
        <w:t>3. Ключові інвестиційні регіони та сектори</w:t>
      </w:r>
    </w:p>
    <w:p>
      <w:r>
        <w:t>Відповідно до стратегії Nestlé, пріоритетними інвестиційними регіонами є:</w:t>
      </w:r>
    </w:p>
    <w:p>
      <w:r>
        <w:t>— Північна та Південна Америка — найбільший ринок збуту, де зосереджені значні виробничі потужності. Стратегія Greenfield-інвестицій та злиттів і поглинань активно використовується на цьому ринку;</w:t>
      </w:r>
    </w:p>
    <w:p>
      <w:r>
        <w:t>— Європа (включаючи Україну) — історичний домашній ринок компанії. В Україні Nestlé здійснює інвестиції у харчову промисловість та переробку сільськогосподарських продуктів, що відповідає галузевій структурі прямих іноземних інвестицій в Україні (16,3% від загального обсягу ПІІ припадає на харчову промисловість);</w:t>
      </w:r>
    </w:p>
    <w:p>
      <w:r>
        <w:t>— Азіатсько-Тихоокеанський регіон — зростаючий ринок з великим потенціалом, де компанія активно інвестує у розширення виробничих потужностей через стратегію Brownfield-інвестицій;</w:t>
      </w:r>
    </w:p>
    <w:p>
      <w:r>
        <w:t>— Африка — перспективний регіон з високими темпами зростання населення та попиту на продукти харчування.</w:t>
      </w:r>
    </w:p>
    <w:p>
      <w:r>
        <w:t>Серед ключових секторів інвестування: кава та напої (бренди Nescafé, Nespresso — найприбутковіший сегмент), корми для домашніх тварин (Purina — один з найбільших у світі виробників), медичне та спеціалізоване харчування (один із найшвидше зростаючих сегментів), молочні продукти та дитяче харчування.</w:t>
      </w:r>
    </w:p>
    <w:p>
      <w:r>
        <w:rPr>
          <w:b/>
          <w:sz w:val="24"/>
        </w:rPr>
        <w:t>4. Підхід до управління ризиками</w:t>
      </w:r>
    </w:p>
    <w:p>
      <w:r>
        <w:t>Як зазначається у лекційних матеріалах (Тема 3 «Інвестиційні ризики»), інвестиційна діяльність орієнтується на довготривалий період реалізації початкових вкладень. Причиною появи ризику є невизначеність та відсутність повної інформації. Nestlé використовує комплексний підхід до управління інвестиційними ризиками, що включає:</w:t>
      </w:r>
    </w:p>
    <w:p>
      <w:r>
        <w:t>— Диверсифікацію як основний метод зниження ризику — розподіл інвестицій між різними країнами, галузями та продуктовими категоріями мінімізує вплив негативних подій у будь-якому окремому сегменті;</w:t>
      </w:r>
    </w:p>
    <w:p>
      <w:r>
        <w:t>— Хеджування валютних ризиків — оскільки компанія працює у понад 180 країнах, вона активно використовує фінансові інструменти для захисту від коливань валютних курсів;</w:t>
      </w:r>
    </w:p>
    <w:p>
      <w:r>
        <w:t>— Стратегію локалізації виробництва — виробництво продукції безпосередньо на місцевих ринках знижує логістичні ризики та валютні ризики, пов'язані з імпортом;</w:t>
      </w:r>
    </w:p>
    <w:p>
      <w:r>
        <w:t>— Ретельний аналіз інвестиційного клімату країн-реципієнтів з використанням кредитних рейтингів міжнародних агентств (Moody's, Standard &amp; Poor's, Fitch Ratings);</w:t>
      </w:r>
    </w:p>
    <w:p>
      <w:r>
        <w:t>— Поступове нарощування присутності на нових ринках — спочатку через ліцензування та спільне підприємництво, а потім через прямі інвестиції та створення власних виробничих потужностей.</w:t>
      </w:r>
    </w:p>
    <w:p>
      <w:r>
        <w:rPr>
          <w:b/>
          <w:sz w:val="24"/>
        </w:rPr>
        <w:t>5. Результати та ефективність інвестиційної стратегії</w:t>
      </w:r>
    </w:p>
    <w:p>
      <w:r>
        <w:t>Ефективність інвестиційної стратегії Nestlé підтверджується низкою показників. Відповідно до методів оцінки інвестиційних проектів, розглянутих у лекційному матеріалі (Тема 5), ключовими критеріями оцінки є чиста поточна вартість (NPV), рентабельність інвестицій (PI) та внутрішня норма прибутковості (IRR). Результати стратегії Nestlé свідчать про її високу ефективність:</w:t>
      </w:r>
    </w:p>
    <w:p>
      <w:r>
        <w:t>— Стабільне зростання доходів протягом десятиліть — компанія демонструє органічне зростання на рівні 3-5% щорічно;</w:t>
      </w:r>
    </w:p>
    <w:p>
      <w:r>
        <w:t>— Високий рівень рентабельності — операційна маржа стабільно перевищує 15%;</w:t>
      </w:r>
    </w:p>
    <w:p>
      <w:r>
        <w:t>— Лідерство у ключових категоріях — Nestlé є світовим лідером у більшості продуктових категорій, де працює;</w:t>
      </w:r>
    </w:p>
    <w:p>
      <w:r>
        <w:t>— Стійкість до кризових явищ — під час глобальних економічних криз компанія демонструє відносну стійкість завдяки диверсифікованому портфелю та географічній присутності;</w:t>
      </w:r>
    </w:p>
    <w:p>
      <w:r>
        <w:t>— Послідовна дивідендна політика — компанія виплачує дивіденди протягом понад 60 років поспіль, що свідчить про стабільну генерацію грошових потоків від інвестиційної діяльності.</w:t>
      </w:r>
    </w:p>
    <w:p>
      <w:r>
        <w:rPr>
          <w:b/>
          <w:sz w:val="24"/>
        </w:rPr>
        <w:t>Висновки</w:t>
      </w:r>
    </w:p>
    <w:p>
      <w:r>
        <w:t>Таким чином, міжнародна інвестиційна стратегія Nestlé S.A. є прикладом збалансованої стратегії диверсифікації інвестицій, що поєднує географічну та секторальну диверсифікацію з ефективним управлінням ризиками. Компанія використовує як стратегії прямого інвестування (Greenfield та Brownfield інвестиції, злиття та поглинання, спільне підприємництво), так і стратегії портфельного інвестування. Досвід Nestlé демонструє, що послідовна реалізація диверсифікованої інвестиційної стратегії з урахуванням особливостей місцевих ринків та ефективним управлінням ризиками забезпечує стійке довгострокове зростання та прибутковість транснаціональної корпорації. Приклад Nestlé підтверджує теоретичні засади, викладені у курсі «Диверсифікація інвестицій», зокрема щодо ролі ТНК у процесах глобального руху капіталів та значення інвестиційної стратегії для забезпечення сталого розвитку компанії.</w:t>
      </w:r>
    </w:p>
    <w:sectPr w:rsidR="00433348" w:rsidRPr="004333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348"/>
    <w:rsid w:val="00433348"/>
    <w:rsid w:val="004A7A86"/>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338F6EF5"/>
  <w15:chartTrackingRefBased/>
  <w15:docId w15:val="{CB9CDAD2-B318-B740-9266-552355EAC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33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33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334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33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33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33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3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3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3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34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334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334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33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33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33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3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3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348"/>
    <w:rPr>
      <w:rFonts w:eastAsiaTheme="majorEastAsia" w:cstheme="majorBidi"/>
      <w:color w:val="272727" w:themeColor="text1" w:themeTint="D8"/>
    </w:rPr>
  </w:style>
  <w:style w:type="paragraph" w:styleId="Title">
    <w:name w:val="Title"/>
    <w:basedOn w:val="Normal"/>
    <w:next w:val="Normal"/>
    <w:link w:val="TitleChar"/>
    <w:uiPriority w:val="10"/>
    <w:qFormat/>
    <w:rsid w:val="004333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3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3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3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348"/>
    <w:pPr>
      <w:spacing w:before="160"/>
      <w:jc w:val="center"/>
    </w:pPr>
    <w:rPr>
      <w:i/>
      <w:iCs/>
      <w:color w:val="404040" w:themeColor="text1" w:themeTint="BF"/>
    </w:rPr>
  </w:style>
  <w:style w:type="character" w:customStyle="1" w:styleId="QuoteChar">
    <w:name w:val="Quote Char"/>
    <w:basedOn w:val="DefaultParagraphFont"/>
    <w:link w:val="Quote"/>
    <w:uiPriority w:val="29"/>
    <w:rsid w:val="00433348"/>
    <w:rPr>
      <w:i/>
      <w:iCs/>
      <w:color w:val="404040" w:themeColor="text1" w:themeTint="BF"/>
    </w:rPr>
  </w:style>
  <w:style w:type="paragraph" w:styleId="ListParagraph">
    <w:name w:val="List Paragraph"/>
    <w:basedOn w:val="Normal"/>
    <w:uiPriority w:val="34"/>
    <w:qFormat/>
    <w:rsid w:val="00433348"/>
    <w:pPr>
      <w:ind w:left="720"/>
      <w:contextualSpacing/>
    </w:pPr>
  </w:style>
  <w:style w:type="character" w:styleId="IntenseEmphasis">
    <w:name w:val="Intense Emphasis"/>
    <w:basedOn w:val="DefaultParagraphFont"/>
    <w:uiPriority w:val="21"/>
    <w:qFormat/>
    <w:rsid w:val="00433348"/>
    <w:rPr>
      <w:i/>
      <w:iCs/>
      <w:color w:val="2F5496" w:themeColor="accent1" w:themeShade="BF"/>
    </w:rPr>
  </w:style>
  <w:style w:type="paragraph" w:styleId="IntenseQuote">
    <w:name w:val="Intense Quote"/>
    <w:basedOn w:val="Normal"/>
    <w:next w:val="Normal"/>
    <w:link w:val="IntenseQuoteChar"/>
    <w:uiPriority w:val="30"/>
    <w:qFormat/>
    <w:rsid w:val="004333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3348"/>
    <w:rPr>
      <w:i/>
      <w:iCs/>
      <w:color w:val="2F5496" w:themeColor="accent1" w:themeShade="BF"/>
    </w:rPr>
  </w:style>
  <w:style w:type="character" w:styleId="IntenseReference">
    <w:name w:val="Intense Reference"/>
    <w:basedOn w:val="DefaultParagraphFont"/>
    <w:uiPriority w:val="32"/>
    <w:qFormat/>
    <w:rsid w:val="00433348"/>
    <w:rPr>
      <w:b/>
      <w:bCs/>
      <w:smallCaps/>
      <w:color w:val="2F5496" w:themeColor="accent1" w:themeShade="BF"/>
      <w:spacing w:val="5"/>
    </w:rPr>
  </w:style>
  <w:style w:type="paragraph" w:styleId="NormalWeb">
    <w:name w:val="Normal (Web)"/>
    <w:basedOn w:val="Normal"/>
    <w:uiPriority w:val="99"/>
    <w:semiHidden/>
    <w:unhideWhenUsed/>
    <w:rsid w:val="00433348"/>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Words>
  <Characters>75</Characters>
  <Application>Microsoft Office Word</Application>
  <DocSecurity>0</DocSecurity>
  <Lines>1</Lines>
  <Paragraphs>1</Paragraphs>
  <ScaleCrop>false</ScaleCrop>
  <Company/>
  <LinksUpToDate>false</LinksUpToDate>
  <CharactersWithSpaces>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Olexandr Gordy</dc:creator>
  <cp:keywords/>
  <dc:description/>
  <cp:lastModifiedBy>Olexandr Gordy</cp:lastModifiedBy>
  <cp:revision>1</cp:revision>
  <dcterms:created xsi:type="dcterms:W3CDTF">2026-06-08T16:37:00Z</dcterms:created>
  <dcterms:modified xsi:type="dcterms:W3CDTF">2026-06-08T16:38:00Z</dcterms:modified>
</cp:coreProperties>
</file>