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014C4" w:rsidRDefault="00E014C4" w:rsidP="00E014C4">
      <w:pPr>
        <w:spacing w:line="211" w:lineRule="auto"/>
        <w:ind w:left="1058" w:right="1059"/>
        <w:jc w:val="center"/>
        <w:rPr>
          <w:rFonts w:ascii="Times New Roman" w:hAnsi="Times New Roman"/>
          <w:b/>
          <w:sz w:val="23"/>
        </w:rPr>
      </w:pPr>
      <w:r>
        <w:rPr>
          <w:rFonts w:ascii="Times New Roman" w:hAnsi="Times New Roman"/>
          <w:b/>
          <w:sz w:val="23"/>
        </w:rPr>
        <w:t>Обговорення: «Оцінка ризиків інвестування</w:t>
      </w:r>
      <w:r>
        <w:rPr>
          <w:rFonts w:ascii="Times New Roman" w:hAnsi="Times New Roman"/>
          <w:b/>
          <w:spacing w:val="-55"/>
          <w:sz w:val="23"/>
        </w:rPr>
        <w:t xml:space="preserve"> </w:t>
      </w:r>
      <w:r>
        <w:rPr>
          <w:rFonts w:ascii="Times New Roman" w:hAnsi="Times New Roman"/>
          <w:b/>
          <w:sz w:val="23"/>
        </w:rPr>
        <w:t>в</w:t>
      </w:r>
      <w:r>
        <w:rPr>
          <w:rFonts w:ascii="Times New Roman" w:hAnsi="Times New Roman"/>
          <w:b/>
          <w:spacing w:val="-1"/>
          <w:sz w:val="23"/>
        </w:rPr>
        <w:t xml:space="preserve"> </w:t>
      </w:r>
      <w:r>
        <w:rPr>
          <w:rFonts w:ascii="Times New Roman" w:hAnsi="Times New Roman"/>
          <w:b/>
          <w:sz w:val="23"/>
        </w:rPr>
        <w:t>нанотехнології»</w:t>
      </w:r>
    </w:p>
    <w:p w:rsidR="00E014C4" w:rsidRDefault="00E014C4" w:rsidP="00E014C4">
      <w:pPr>
        <w:pStyle w:val="a3"/>
        <w:rPr>
          <w:rFonts w:ascii="Times New Roman"/>
          <w:b/>
          <w:sz w:val="24"/>
        </w:rPr>
      </w:pPr>
    </w:p>
    <w:p w:rsidR="00E014C4" w:rsidRDefault="00E014C4" w:rsidP="00E014C4">
      <w:pPr>
        <w:spacing w:line="249" w:lineRule="auto"/>
        <w:ind w:left="160" w:right="159"/>
        <w:jc w:val="center"/>
        <w:rPr>
          <w:sz w:val="24"/>
        </w:rPr>
      </w:pPr>
      <w:r w:rsidRPr="00E014C4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Особливостями</w:t>
      </w:r>
      <w:r>
        <w:rPr>
          <w:spacing w:val="27"/>
          <w:sz w:val="24"/>
        </w:rPr>
        <w:t xml:space="preserve"> </w:t>
      </w:r>
      <w:r w:rsidRPr="00E014C4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нанотехнологій,</w:t>
      </w:r>
      <w:r>
        <w:rPr>
          <w:spacing w:val="28"/>
          <w:sz w:val="24"/>
        </w:rPr>
        <w:t xml:space="preserve"> </w:t>
      </w:r>
      <w:r w:rsidRPr="00E014C4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що</w:t>
      </w:r>
      <w:r>
        <w:rPr>
          <w:spacing w:val="30"/>
          <w:sz w:val="24"/>
        </w:rPr>
        <w:t xml:space="preserve"> </w:t>
      </w:r>
      <w:r w:rsidRPr="00E014C4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породжують</w:t>
      </w:r>
      <w:r>
        <w:rPr>
          <w:spacing w:val="-61"/>
          <w:sz w:val="24"/>
        </w:rPr>
        <w:t xml:space="preserve"> </w:t>
      </w:r>
      <w:r w:rsidRPr="00E014C4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специфічні</w:t>
      </w:r>
      <w:r>
        <w:rPr>
          <w:spacing w:val="4"/>
          <w:sz w:val="24"/>
        </w:rPr>
        <w:t xml:space="preserve"> </w:t>
      </w:r>
      <w:r w:rsidRPr="00E014C4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етичні</w:t>
      </w:r>
      <w:r>
        <w:rPr>
          <w:spacing w:val="6"/>
          <w:sz w:val="24"/>
        </w:rPr>
        <w:t xml:space="preserve"> </w:t>
      </w:r>
      <w:r w:rsidRPr="00E014C4">
        <w:rPr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питання:</w:t>
      </w:r>
    </w:p>
    <w:p w:rsidR="00E014C4" w:rsidRDefault="00E014C4" w:rsidP="00E014C4">
      <w:pPr>
        <w:pStyle w:val="a5"/>
        <w:numPr>
          <w:ilvl w:val="0"/>
          <w:numId w:val="1"/>
        </w:numPr>
        <w:tabs>
          <w:tab w:val="left" w:pos="685"/>
          <w:tab w:val="left" w:pos="686"/>
        </w:tabs>
        <w:spacing w:before="40" w:line="249" w:lineRule="auto"/>
        <w:ind w:right="629"/>
        <w:rPr>
          <w:sz w:val="14"/>
        </w:rPr>
      </w:pPr>
      <w:r w:rsidRPr="00E014C4">
        <w:rPr>
          <w:rFonts w:ascii="Arial" w:hAnsi="Arial"/>
          <w:b/>
          <w:w w:val="105"/>
          <w:sz w:val="15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Невидимість</w:t>
      </w:r>
      <w:r>
        <w:rPr>
          <w:rFonts w:ascii="Arial" w:hAnsi="Arial"/>
          <w:b/>
          <w:spacing w:val="-9"/>
          <w:w w:val="105"/>
          <w:sz w:val="15"/>
        </w:rPr>
        <w:t xml:space="preserve"> </w:t>
      </w:r>
      <w:r w:rsidRPr="00E014C4">
        <w:rPr>
          <w:w w:val="105"/>
          <w:sz w:val="15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(що</w:t>
      </w:r>
      <w:r>
        <w:rPr>
          <w:spacing w:val="-7"/>
          <w:w w:val="105"/>
          <w:sz w:val="15"/>
        </w:rPr>
        <w:t xml:space="preserve"> </w:t>
      </w:r>
      <w:r w:rsidRPr="00E014C4">
        <w:rPr>
          <w:w w:val="105"/>
          <w:sz w:val="15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робить</w:t>
      </w:r>
      <w:r>
        <w:rPr>
          <w:spacing w:val="-7"/>
          <w:w w:val="105"/>
          <w:sz w:val="15"/>
        </w:rPr>
        <w:t xml:space="preserve"> </w:t>
      </w:r>
      <w:r w:rsidRPr="00E014C4">
        <w:rPr>
          <w:w w:val="105"/>
          <w:sz w:val="15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застосування</w:t>
      </w:r>
      <w:r>
        <w:rPr>
          <w:spacing w:val="-6"/>
          <w:w w:val="105"/>
          <w:sz w:val="15"/>
        </w:rPr>
        <w:t xml:space="preserve"> </w:t>
      </w:r>
      <w:r w:rsidRPr="00E014C4">
        <w:rPr>
          <w:w w:val="105"/>
          <w:sz w:val="15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нанотехнологій</w:t>
      </w:r>
      <w:r>
        <w:rPr>
          <w:spacing w:val="-8"/>
          <w:w w:val="105"/>
          <w:sz w:val="15"/>
        </w:rPr>
        <w:t xml:space="preserve"> </w:t>
      </w:r>
      <w:r w:rsidRPr="00E014C4">
        <w:rPr>
          <w:w w:val="105"/>
          <w:sz w:val="15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доволі</w:t>
      </w:r>
      <w:r>
        <w:rPr>
          <w:spacing w:val="-7"/>
          <w:w w:val="105"/>
          <w:sz w:val="15"/>
        </w:rPr>
        <w:t xml:space="preserve"> </w:t>
      </w:r>
      <w:r w:rsidRPr="00E014C4">
        <w:rPr>
          <w:w w:val="105"/>
          <w:sz w:val="15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важким</w:t>
      </w:r>
      <w:r>
        <w:rPr>
          <w:spacing w:val="-7"/>
          <w:w w:val="105"/>
          <w:sz w:val="15"/>
        </w:rPr>
        <w:t xml:space="preserve"> </w:t>
      </w:r>
      <w:r w:rsidRPr="00E014C4">
        <w:rPr>
          <w:w w:val="105"/>
          <w:sz w:val="15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для</w:t>
      </w:r>
      <w:r>
        <w:rPr>
          <w:spacing w:val="-39"/>
          <w:w w:val="105"/>
          <w:sz w:val="15"/>
        </w:rPr>
        <w:t xml:space="preserve"> </w:t>
      </w:r>
      <w:r w:rsidRPr="00E014C4">
        <w:rPr>
          <w:w w:val="105"/>
          <w:sz w:val="15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контролювання);</w:t>
      </w:r>
    </w:p>
    <w:p w:rsidR="00E014C4" w:rsidRDefault="00E014C4" w:rsidP="00E014C4">
      <w:pPr>
        <w:pStyle w:val="a5"/>
        <w:numPr>
          <w:ilvl w:val="0"/>
          <w:numId w:val="1"/>
        </w:numPr>
        <w:tabs>
          <w:tab w:val="left" w:pos="685"/>
          <w:tab w:val="left" w:pos="686"/>
        </w:tabs>
        <w:spacing w:before="4" w:line="249" w:lineRule="auto"/>
        <w:ind w:right="358"/>
        <w:rPr>
          <w:sz w:val="14"/>
        </w:rPr>
      </w:pPr>
      <w:r w:rsidRPr="00E014C4">
        <w:rPr>
          <w:rFonts w:ascii="Arial" w:hAnsi="Arial"/>
          <w:b/>
          <w:w w:val="105"/>
          <w:sz w:val="15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Швидкий</w:t>
      </w:r>
      <w:r>
        <w:rPr>
          <w:rFonts w:ascii="Arial" w:hAnsi="Arial"/>
          <w:b/>
          <w:spacing w:val="-8"/>
          <w:w w:val="105"/>
          <w:sz w:val="15"/>
        </w:rPr>
        <w:t xml:space="preserve"> </w:t>
      </w:r>
      <w:r w:rsidRPr="00E014C4">
        <w:rPr>
          <w:rFonts w:ascii="Arial" w:hAnsi="Arial"/>
          <w:b/>
          <w:w w:val="105"/>
          <w:sz w:val="15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розвиток</w:t>
      </w:r>
      <w:r>
        <w:rPr>
          <w:rFonts w:ascii="Arial" w:hAnsi="Arial"/>
          <w:b/>
          <w:spacing w:val="-7"/>
          <w:w w:val="105"/>
          <w:sz w:val="15"/>
        </w:rPr>
        <w:t xml:space="preserve"> </w:t>
      </w:r>
      <w:r w:rsidRPr="00E014C4">
        <w:rPr>
          <w:w w:val="105"/>
          <w:sz w:val="15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(що</w:t>
      </w:r>
      <w:r>
        <w:rPr>
          <w:spacing w:val="-5"/>
          <w:w w:val="105"/>
          <w:sz w:val="15"/>
        </w:rPr>
        <w:t xml:space="preserve"> </w:t>
      </w:r>
      <w:r w:rsidRPr="00E014C4">
        <w:rPr>
          <w:w w:val="105"/>
          <w:sz w:val="15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робить</w:t>
      </w:r>
      <w:r>
        <w:rPr>
          <w:spacing w:val="-6"/>
          <w:w w:val="105"/>
          <w:sz w:val="15"/>
        </w:rPr>
        <w:t xml:space="preserve"> </w:t>
      </w:r>
      <w:r w:rsidRPr="00E014C4">
        <w:rPr>
          <w:w w:val="105"/>
          <w:sz w:val="15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складним</w:t>
      </w:r>
      <w:r>
        <w:rPr>
          <w:spacing w:val="-5"/>
          <w:w w:val="105"/>
          <w:sz w:val="15"/>
        </w:rPr>
        <w:t xml:space="preserve"> </w:t>
      </w:r>
      <w:r w:rsidRPr="00E014C4">
        <w:rPr>
          <w:w w:val="105"/>
          <w:sz w:val="15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оперативне</w:t>
      </w:r>
      <w:r>
        <w:rPr>
          <w:spacing w:val="-5"/>
          <w:w w:val="105"/>
          <w:sz w:val="15"/>
        </w:rPr>
        <w:t xml:space="preserve"> </w:t>
      </w:r>
      <w:r w:rsidRPr="00E014C4">
        <w:rPr>
          <w:w w:val="105"/>
          <w:sz w:val="15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виявлення</w:t>
      </w:r>
      <w:r>
        <w:rPr>
          <w:spacing w:val="-5"/>
          <w:w w:val="105"/>
          <w:sz w:val="15"/>
        </w:rPr>
        <w:t xml:space="preserve"> </w:t>
      </w:r>
      <w:r w:rsidRPr="00E014C4">
        <w:rPr>
          <w:w w:val="105"/>
          <w:sz w:val="15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і</w:t>
      </w:r>
      <w:r>
        <w:rPr>
          <w:spacing w:val="-6"/>
          <w:w w:val="105"/>
          <w:sz w:val="15"/>
        </w:rPr>
        <w:t xml:space="preserve"> </w:t>
      </w:r>
      <w:r w:rsidRPr="00E014C4">
        <w:rPr>
          <w:w w:val="105"/>
          <w:sz w:val="15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реагування</w:t>
      </w:r>
      <w:r>
        <w:rPr>
          <w:spacing w:val="-39"/>
          <w:w w:val="105"/>
          <w:sz w:val="15"/>
        </w:rPr>
        <w:t xml:space="preserve"> </w:t>
      </w:r>
      <w:r w:rsidRPr="00E014C4">
        <w:rPr>
          <w:w w:val="105"/>
          <w:sz w:val="15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щодо</w:t>
      </w:r>
      <w:r>
        <w:rPr>
          <w:spacing w:val="-1"/>
          <w:w w:val="105"/>
          <w:sz w:val="15"/>
        </w:rPr>
        <w:t xml:space="preserve"> </w:t>
      </w:r>
      <w:r w:rsidRPr="00E014C4">
        <w:rPr>
          <w:w w:val="105"/>
          <w:sz w:val="15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потенційних</w:t>
      </w:r>
      <w:r>
        <w:rPr>
          <w:spacing w:val="1"/>
          <w:w w:val="105"/>
          <w:sz w:val="15"/>
        </w:rPr>
        <w:t xml:space="preserve"> </w:t>
      </w:r>
      <w:r w:rsidRPr="00E014C4">
        <w:rPr>
          <w:w w:val="105"/>
          <w:sz w:val="15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ризиків,</w:t>
      </w:r>
      <w:r>
        <w:rPr>
          <w:spacing w:val="1"/>
          <w:w w:val="105"/>
          <w:sz w:val="15"/>
        </w:rPr>
        <w:t xml:space="preserve"> </w:t>
      </w:r>
      <w:r w:rsidRPr="00E014C4">
        <w:rPr>
          <w:w w:val="105"/>
          <w:sz w:val="15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особливо</w:t>
      </w:r>
      <w:r>
        <w:rPr>
          <w:w w:val="105"/>
          <w:sz w:val="15"/>
        </w:rPr>
        <w:t xml:space="preserve"> </w:t>
      </w:r>
      <w:r w:rsidRPr="00E014C4">
        <w:rPr>
          <w:w w:val="105"/>
          <w:sz w:val="15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далекоглядних);</w:t>
      </w:r>
    </w:p>
    <w:p w:rsidR="00E014C4" w:rsidRDefault="00E014C4" w:rsidP="00E014C4">
      <w:pPr>
        <w:pStyle w:val="a5"/>
        <w:numPr>
          <w:ilvl w:val="0"/>
          <w:numId w:val="1"/>
        </w:numPr>
        <w:tabs>
          <w:tab w:val="left" w:pos="685"/>
          <w:tab w:val="left" w:pos="686"/>
        </w:tabs>
        <w:spacing w:before="5" w:line="249" w:lineRule="auto"/>
        <w:ind w:right="687"/>
        <w:rPr>
          <w:sz w:val="14"/>
        </w:rPr>
      </w:pPr>
      <w:r w:rsidRPr="00E014C4">
        <w:rPr>
          <w:rFonts w:ascii="Arial" w:hAnsi="Arial"/>
          <w:b/>
          <w:w w:val="105"/>
          <w:sz w:val="15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Можливість</w:t>
      </w:r>
      <w:r>
        <w:rPr>
          <w:rFonts w:ascii="Arial" w:hAnsi="Arial"/>
          <w:b/>
          <w:spacing w:val="-5"/>
          <w:w w:val="105"/>
          <w:sz w:val="15"/>
        </w:rPr>
        <w:t xml:space="preserve"> </w:t>
      </w:r>
      <w:r w:rsidRPr="00E014C4">
        <w:rPr>
          <w:rFonts w:ascii="Arial" w:hAnsi="Arial"/>
          <w:b/>
          <w:w w:val="105"/>
          <w:sz w:val="15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застосування</w:t>
      </w:r>
      <w:r>
        <w:rPr>
          <w:rFonts w:ascii="Arial" w:hAnsi="Arial"/>
          <w:b/>
          <w:spacing w:val="-4"/>
          <w:w w:val="105"/>
          <w:sz w:val="15"/>
        </w:rPr>
        <w:t xml:space="preserve"> </w:t>
      </w:r>
      <w:r w:rsidRPr="00E014C4">
        <w:rPr>
          <w:rFonts w:ascii="Arial" w:hAnsi="Arial"/>
          <w:b/>
          <w:w w:val="105"/>
          <w:sz w:val="15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в</w:t>
      </w:r>
      <w:r>
        <w:rPr>
          <w:rFonts w:ascii="Arial" w:hAnsi="Arial"/>
          <w:b/>
          <w:spacing w:val="-4"/>
          <w:w w:val="105"/>
          <w:sz w:val="15"/>
        </w:rPr>
        <w:t xml:space="preserve"> </w:t>
      </w:r>
      <w:r w:rsidRPr="00E014C4">
        <w:rPr>
          <w:rFonts w:ascii="Arial" w:hAnsi="Arial"/>
          <w:b/>
          <w:w w:val="105"/>
          <w:sz w:val="15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цілях</w:t>
      </w:r>
      <w:r>
        <w:rPr>
          <w:rFonts w:ascii="Arial" w:hAnsi="Arial"/>
          <w:b/>
          <w:spacing w:val="-6"/>
          <w:w w:val="105"/>
          <w:sz w:val="15"/>
        </w:rPr>
        <w:t xml:space="preserve"> </w:t>
      </w:r>
      <w:r w:rsidRPr="00E014C4">
        <w:rPr>
          <w:rFonts w:ascii="Arial" w:hAnsi="Arial"/>
          <w:b/>
          <w:w w:val="105"/>
          <w:sz w:val="15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безпеки</w:t>
      </w:r>
      <w:r>
        <w:rPr>
          <w:rFonts w:ascii="Arial" w:hAnsi="Arial"/>
          <w:b/>
          <w:spacing w:val="-4"/>
          <w:w w:val="105"/>
          <w:sz w:val="15"/>
        </w:rPr>
        <w:t xml:space="preserve"> </w:t>
      </w:r>
      <w:r w:rsidRPr="00E014C4">
        <w:rPr>
          <w:rFonts w:ascii="Arial" w:hAnsi="Arial"/>
          <w:b/>
          <w:w w:val="105"/>
          <w:sz w:val="15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та</w:t>
      </w:r>
      <w:r>
        <w:rPr>
          <w:rFonts w:ascii="Arial" w:hAnsi="Arial"/>
          <w:b/>
          <w:spacing w:val="-5"/>
          <w:w w:val="105"/>
          <w:sz w:val="15"/>
        </w:rPr>
        <w:t xml:space="preserve"> </w:t>
      </w:r>
      <w:r w:rsidRPr="00E014C4">
        <w:rPr>
          <w:rFonts w:ascii="Arial" w:hAnsi="Arial"/>
          <w:b/>
          <w:w w:val="105"/>
          <w:sz w:val="15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оборони</w:t>
      </w:r>
      <w:r>
        <w:rPr>
          <w:rFonts w:ascii="Arial" w:hAnsi="Arial"/>
          <w:b/>
          <w:spacing w:val="-4"/>
          <w:w w:val="105"/>
          <w:sz w:val="15"/>
        </w:rPr>
        <w:t xml:space="preserve"> </w:t>
      </w:r>
      <w:r w:rsidRPr="00E014C4">
        <w:rPr>
          <w:w w:val="105"/>
          <w:sz w:val="15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(що</w:t>
      </w:r>
      <w:r>
        <w:rPr>
          <w:spacing w:val="-3"/>
          <w:w w:val="105"/>
          <w:sz w:val="15"/>
        </w:rPr>
        <w:t xml:space="preserve"> </w:t>
      </w:r>
      <w:r w:rsidRPr="00E014C4">
        <w:rPr>
          <w:w w:val="105"/>
          <w:sz w:val="15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може</w:t>
      </w:r>
      <w:r>
        <w:rPr>
          <w:spacing w:val="-3"/>
          <w:w w:val="105"/>
          <w:sz w:val="15"/>
        </w:rPr>
        <w:t xml:space="preserve"> </w:t>
      </w:r>
      <w:r w:rsidRPr="00E014C4">
        <w:rPr>
          <w:w w:val="105"/>
          <w:sz w:val="15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стати</w:t>
      </w:r>
      <w:r>
        <w:rPr>
          <w:spacing w:val="-39"/>
          <w:w w:val="105"/>
          <w:sz w:val="15"/>
        </w:rPr>
        <w:t xml:space="preserve"> </w:t>
      </w:r>
      <w:r w:rsidRPr="00E014C4">
        <w:rPr>
          <w:w w:val="105"/>
          <w:sz w:val="15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потенційною</w:t>
      </w:r>
      <w:r>
        <w:rPr>
          <w:spacing w:val="1"/>
          <w:w w:val="105"/>
          <w:sz w:val="15"/>
        </w:rPr>
        <w:t xml:space="preserve"> </w:t>
      </w:r>
      <w:r w:rsidRPr="00E014C4">
        <w:rPr>
          <w:w w:val="105"/>
          <w:sz w:val="15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загрозою</w:t>
      </w:r>
      <w:r>
        <w:rPr>
          <w:w w:val="105"/>
          <w:sz w:val="15"/>
        </w:rPr>
        <w:t xml:space="preserve"> </w:t>
      </w:r>
      <w:r w:rsidRPr="00E014C4">
        <w:rPr>
          <w:w w:val="105"/>
          <w:sz w:val="15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для</w:t>
      </w:r>
      <w:r>
        <w:rPr>
          <w:spacing w:val="1"/>
          <w:w w:val="105"/>
          <w:sz w:val="15"/>
        </w:rPr>
        <w:t xml:space="preserve"> </w:t>
      </w:r>
      <w:r w:rsidRPr="00E014C4">
        <w:rPr>
          <w:w w:val="105"/>
          <w:sz w:val="15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прав</w:t>
      </w:r>
      <w:r>
        <w:rPr>
          <w:w w:val="105"/>
          <w:sz w:val="15"/>
        </w:rPr>
        <w:t xml:space="preserve"> </w:t>
      </w:r>
      <w:r w:rsidRPr="00E014C4">
        <w:rPr>
          <w:w w:val="105"/>
          <w:sz w:val="15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людини);</w:t>
      </w:r>
    </w:p>
    <w:p w:rsidR="00E014C4" w:rsidRDefault="00E014C4" w:rsidP="00E014C4">
      <w:pPr>
        <w:pStyle w:val="a5"/>
        <w:numPr>
          <w:ilvl w:val="0"/>
          <w:numId w:val="1"/>
        </w:numPr>
        <w:tabs>
          <w:tab w:val="left" w:pos="685"/>
          <w:tab w:val="left" w:pos="686"/>
        </w:tabs>
        <w:spacing w:before="4" w:line="249" w:lineRule="auto"/>
        <w:ind w:right="388"/>
        <w:rPr>
          <w:sz w:val="14"/>
        </w:rPr>
      </w:pPr>
      <w:r w:rsidRPr="00E014C4">
        <w:rPr>
          <w:rFonts w:ascii="Arial" w:hAnsi="Arial"/>
          <w:b/>
          <w:w w:val="105"/>
          <w:sz w:val="15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Глобальне</w:t>
      </w:r>
      <w:r>
        <w:rPr>
          <w:rFonts w:ascii="Arial" w:hAnsi="Arial"/>
          <w:b/>
          <w:spacing w:val="-8"/>
          <w:w w:val="105"/>
          <w:sz w:val="15"/>
        </w:rPr>
        <w:t xml:space="preserve"> </w:t>
      </w:r>
      <w:r w:rsidRPr="00E014C4">
        <w:rPr>
          <w:rFonts w:ascii="Arial" w:hAnsi="Arial"/>
          <w:b/>
          <w:w w:val="105"/>
          <w:sz w:val="15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значення</w:t>
      </w:r>
      <w:r>
        <w:rPr>
          <w:rFonts w:ascii="Arial" w:hAnsi="Arial"/>
          <w:b/>
          <w:spacing w:val="-6"/>
          <w:w w:val="105"/>
          <w:sz w:val="15"/>
        </w:rPr>
        <w:t xml:space="preserve"> </w:t>
      </w:r>
      <w:r w:rsidRPr="00E014C4">
        <w:rPr>
          <w:w w:val="105"/>
          <w:sz w:val="15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(потенційний</w:t>
      </w:r>
      <w:r>
        <w:rPr>
          <w:spacing w:val="-5"/>
          <w:w w:val="105"/>
          <w:sz w:val="15"/>
        </w:rPr>
        <w:t xml:space="preserve"> </w:t>
      </w:r>
      <w:r w:rsidRPr="00E014C4">
        <w:rPr>
          <w:w w:val="105"/>
          <w:sz w:val="15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вплив</w:t>
      </w:r>
      <w:r>
        <w:rPr>
          <w:spacing w:val="-5"/>
          <w:w w:val="105"/>
          <w:sz w:val="15"/>
        </w:rPr>
        <w:t xml:space="preserve"> </w:t>
      </w:r>
      <w:r w:rsidRPr="00E014C4">
        <w:rPr>
          <w:w w:val="105"/>
          <w:sz w:val="15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на</w:t>
      </w:r>
      <w:r>
        <w:rPr>
          <w:spacing w:val="-6"/>
          <w:w w:val="105"/>
          <w:sz w:val="15"/>
        </w:rPr>
        <w:t xml:space="preserve"> </w:t>
      </w:r>
      <w:r w:rsidRPr="00E014C4">
        <w:rPr>
          <w:w w:val="105"/>
          <w:sz w:val="15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країни</w:t>
      </w:r>
      <w:r>
        <w:rPr>
          <w:spacing w:val="-5"/>
          <w:w w:val="105"/>
          <w:sz w:val="15"/>
        </w:rPr>
        <w:t xml:space="preserve"> </w:t>
      </w:r>
      <w:r w:rsidRPr="00E014C4">
        <w:rPr>
          <w:w w:val="105"/>
          <w:sz w:val="15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і</w:t>
      </w:r>
      <w:r>
        <w:rPr>
          <w:spacing w:val="-4"/>
          <w:w w:val="105"/>
          <w:sz w:val="15"/>
        </w:rPr>
        <w:t xml:space="preserve"> </w:t>
      </w:r>
      <w:r w:rsidRPr="00E014C4">
        <w:rPr>
          <w:w w:val="105"/>
          <w:sz w:val="15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суспільства,</w:t>
      </w:r>
      <w:r>
        <w:rPr>
          <w:spacing w:val="-4"/>
          <w:w w:val="105"/>
          <w:sz w:val="15"/>
        </w:rPr>
        <w:t xml:space="preserve"> </w:t>
      </w:r>
      <w:r w:rsidRPr="00E014C4">
        <w:rPr>
          <w:w w:val="105"/>
          <w:sz w:val="15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навіть</w:t>
      </w:r>
      <w:r>
        <w:rPr>
          <w:spacing w:val="-5"/>
          <w:w w:val="105"/>
          <w:sz w:val="15"/>
        </w:rPr>
        <w:t xml:space="preserve"> </w:t>
      </w:r>
      <w:r w:rsidRPr="00E014C4">
        <w:rPr>
          <w:w w:val="105"/>
          <w:sz w:val="15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якщо</w:t>
      </w:r>
      <w:r>
        <w:rPr>
          <w:spacing w:val="-38"/>
          <w:w w:val="105"/>
          <w:sz w:val="15"/>
        </w:rPr>
        <w:t xml:space="preserve"> </w:t>
      </w:r>
      <w:r w:rsidRPr="00E014C4">
        <w:rPr>
          <w:w w:val="105"/>
          <w:sz w:val="15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ті</w:t>
      </w:r>
      <w:r>
        <w:rPr>
          <w:spacing w:val="1"/>
          <w:w w:val="105"/>
          <w:sz w:val="15"/>
        </w:rPr>
        <w:t xml:space="preserve"> </w:t>
      </w:r>
      <w:r w:rsidRPr="00E014C4">
        <w:rPr>
          <w:w w:val="105"/>
          <w:sz w:val="15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не</w:t>
      </w:r>
      <w:r>
        <w:rPr>
          <w:w w:val="105"/>
          <w:sz w:val="15"/>
        </w:rPr>
        <w:t xml:space="preserve"> </w:t>
      </w:r>
      <w:r w:rsidRPr="00E014C4">
        <w:rPr>
          <w:w w:val="105"/>
          <w:sz w:val="15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брали</w:t>
      </w:r>
      <w:r>
        <w:rPr>
          <w:w w:val="105"/>
          <w:sz w:val="15"/>
        </w:rPr>
        <w:t xml:space="preserve"> </w:t>
      </w:r>
      <w:r w:rsidRPr="00E014C4">
        <w:rPr>
          <w:w w:val="105"/>
          <w:sz w:val="15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участь</w:t>
      </w:r>
      <w:r>
        <w:rPr>
          <w:spacing w:val="1"/>
          <w:w w:val="105"/>
          <w:sz w:val="15"/>
        </w:rPr>
        <w:t xml:space="preserve"> </w:t>
      </w:r>
      <w:r w:rsidRPr="00E014C4">
        <w:rPr>
          <w:w w:val="105"/>
          <w:sz w:val="15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у</w:t>
      </w:r>
      <w:r>
        <w:rPr>
          <w:spacing w:val="2"/>
          <w:w w:val="105"/>
          <w:sz w:val="15"/>
        </w:rPr>
        <w:t xml:space="preserve"> </w:t>
      </w:r>
      <w:r w:rsidRPr="00E014C4">
        <w:rPr>
          <w:w w:val="105"/>
          <w:sz w:val="15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розробленні</w:t>
      </w:r>
      <w:r>
        <w:rPr>
          <w:spacing w:val="1"/>
          <w:w w:val="105"/>
          <w:sz w:val="15"/>
        </w:rPr>
        <w:t xml:space="preserve"> </w:t>
      </w:r>
      <w:r w:rsidRPr="00E014C4">
        <w:rPr>
          <w:w w:val="105"/>
          <w:sz w:val="15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нанотехнологій);</w:t>
      </w:r>
    </w:p>
    <w:p w:rsidR="00E014C4" w:rsidRDefault="00E014C4" w:rsidP="00E014C4">
      <w:pPr>
        <w:pStyle w:val="a5"/>
        <w:numPr>
          <w:ilvl w:val="0"/>
          <w:numId w:val="1"/>
        </w:numPr>
        <w:tabs>
          <w:tab w:val="left" w:pos="685"/>
          <w:tab w:val="left" w:pos="686"/>
        </w:tabs>
        <w:spacing w:before="6" w:line="252" w:lineRule="auto"/>
        <w:ind w:right="325"/>
        <w:rPr>
          <w:sz w:val="14"/>
        </w:rPr>
      </w:pPr>
      <w:proofErr w:type="spellStart"/>
      <w:r w:rsidRPr="00E014C4">
        <w:rPr>
          <w:rFonts w:ascii="Arial" w:hAnsi="Arial"/>
          <w:b/>
          <w:w w:val="105"/>
          <w:sz w:val="15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Нано</w:t>
      </w:r>
      <w:proofErr w:type="spellEnd"/>
      <w:r w:rsidRPr="00E014C4">
        <w:rPr>
          <w:rFonts w:ascii="Arial" w:hAnsi="Arial"/>
          <w:b/>
          <w:w w:val="105"/>
          <w:sz w:val="15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-розділ</w:t>
      </w:r>
      <w:r>
        <w:rPr>
          <w:rFonts w:ascii="Arial" w:hAnsi="Arial"/>
          <w:b/>
          <w:spacing w:val="-11"/>
          <w:w w:val="105"/>
          <w:sz w:val="15"/>
        </w:rPr>
        <w:t xml:space="preserve"> </w:t>
      </w:r>
      <w:r w:rsidRPr="00E014C4">
        <w:rPr>
          <w:w w:val="105"/>
          <w:sz w:val="15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(потенційне</w:t>
      </w:r>
      <w:r>
        <w:rPr>
          <w:spacing w:val="-10"/>
          <w:w w:val="105"/>
          <w:sz w:val="15"/>
        </w:rPr>
        <w:t xml:space="preserve"> </w:t>
      </w:r>
      <w:proofErr w:type="spellStart"/>
      <w:r w:rsidRPr="00E014C4">
        <w:rPr>
          <w:w w:val="105"/>
          <w:sz w:val="15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поглибшання</w:t>
      </w:r>
      <w:proofErr w:type="spellEnd"/>
      <w:r>
        <w:rPr>
          <w:spacing w:val="-9"/>
          <w:w w:val="105"/>
          <w:sz w:val="15"/>
        </w:rPr>
        <w:t xml:space="preserve"> </w:t>
      </w:r>
      <w:r w:rsidRPr="00E014C4">
        <w:rPr>
          <w:w w:val="105"/>
          <w:sz w:val="15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нерівності</w:t>
      </w:r>
      <w:r>
        <w:rPr>
          <w:spacing w:val="-9"/>
          <w:w w:val="105"/>
          <w:sz w:val="15"/>
        </w:rPr>
        <w:t xml:space="preserve"> </w:t>
      </w:r>
      <w:r w:rsidRPr="00E014C4">
        <w:rPr>
          <w:w w:val="105"/>
          <w:sz w:val="15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між</w:t>
      </w:r>
      <w:r>
        <w:rPr>
          <w:spacing w:val="-10"/>
          <w:w w:val="105"/>
          <w:sz w:val="15"/>
        </w:rPr>
        <w:t xml:space="preserve"> </w:t>
      </w:r>
      <w:r w:rsidRPr="00E014C4">
        <w:rPr>
          <w:w w:val="105"/>
          <w:sz w:val="15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розвиненими</w:t>
      </w:r>
      <w:r>
        <w:rPr>
          <w:spacing w:val="-9"/>
          <w:w w:val="105"/>
          <w:sz w:val="15"/>
        </w:rPr>
        <w:t xml:space="preserve"> </w:t>
      </w:r>
      <w:r w:rsidRPr="00E014C4">
        <w:rPr>
          <w:w w:val="105"/>
          <w:sz w:val="15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країнами</w:t>
      </w:r>
      <w:r>
        <w:rPr>
          <w:spacing w:val="-10"/>
          <w:w w:val="105"/>
          <w:sz w:val="15"/>
        </w:rPr>
        <w:t xml:space="preserve"> </w:t>
      </w:r>
      <w:r w:rsidRPr="00E014C4">
        <w:rPr>
          <w:w w:val="105"/>
          <w:sz w:val="15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й</w:t>
      </w:r>
      <w:r>
        <w:rPr>
          <w:spacing w:val="-38"/>
          <w:w w:val="105"/>
          <w:sz w:val="15"/>
        </w:rPr>
        <w:t xml:space="preserve"> </w:t>
      </w:r>
      <w:r w:rsidRPr="00E014C4">
        <w:rPr>
          <w:w w:val="105"/>
          <w:sz w:val="15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такими,</w:t>
      </w:r>
      <w:r>
        <w:rPr>
          <w:w w:val="105"/>
          <w:sz w:val="15"/>
        </w:rPr>
        <w:t xml:space="preserve"> </w:t>
      </w:r>
      <w:r w:rsidRPr="00E014C4">
        <w:rPr>
          <w:w w:val="105"/>
          <w:sz w:val="15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що</w:t>
      </w:r>
      <w:r>
        <w:rPr>
          <w:w w:val="105"/>
          <w:sz w:val="15"/>
        </w:rPr>
        <w:t xml:space="preserve"> </w:t>
      </w:r>
      <w:r w:rsidRPr="00E014C4">
        <w:rPr>
          <w:w w:val="105"/>
          <w:sz w:val="15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розвиваються,</w:t>
      </w:r>
      <w:r>
        <w:rPr>
          <w:w w:val="105"/>
          <w:sz w:val="15"/>
        </w:rPr>
        <w:t xml:space="preserve"> </w:t>
      </w:r>
      <w:r w:rsidRPr="00E014C4">
        <w:rPr>
          <w:w w:val="105"/>
          <w:sz w:val="15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а</w:t>
      </w:r>
      <w:r>
        <w:rPr>
          <w:w w:val="105"/>
          <w:sz w:val="15"/>
        </w:rPr>
        <w:t xml:space="preserve"> </w:t>
      </w:r>
      <w:r w:rsidRPr="00E014C4">
        <w:rPr>
          <w:w w:val="105"/>
          <w:sz w:val="15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також</w:t>
      </w:r>
      <w:r>
        <w:rPr>
          <w:w w:val="105"/>
          <w:sz w:val="15"/>
        </w:rPr>
        <w:t xml:space="preserve"> </w:t>
      </w:r>
      <w:r w:rsidRPr="00E014C4">
        <w:rPr>
          <w:w w:val="105"/>
          <w:sz w:val="15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використання</w:t>
      </w:r>
      <w:r>
        <w:rPr>
          <w:w w:val="105"/>
          <w:sz w:val="15"/>
        </w:rPr>
        <w:t xml:space="preserve"> </w:t>
      </w:r>
      <w:r w:rsidRPr="00E014C4">
        <w:rPr>
          <w:w w:val="105"/>
          <w:sz w:val="15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ресурсів</w:t>
      </w:r>
      <w:r>
        <w:rPr>
          <w:w w:val="105"/>
          <w:sz w:val="15"/>
        </w:rPr>
        <w:t xml:space="preserve"> </w:t>
      </w:r>
      <w:r w:rsidRPr="00E014C4">
        <w:rPr>
          <w:w w:val="105"/>
          <w:sz w:val="15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менш</w:t>
      </w:r>
      <w:r>
        <w:rPr>
          <w:w w:val="105"/>
          <w:sz w:val="15"/>
        </w:rPr>
        <w:t xml:space="preserve"> </w:t>
      </w:r>
      <w:r w:rsidRPr="00E014C4">
        <w:rPr>
          <w:w w:val="105"/>
          <w:sz w:val="15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розвинених</w:t>
      </w:r>
      <w:r>
        <w:rPr>
          <w:spacing w:val="1"/>
          <w:w w:val="105"/>
          <w:sz w:val="15"/>
        </w:rPr>
        <w:t xml:space="preserve"> </w:t>
      </w:r>
      <w:r w:rsidRPr="00E014C4">
        <w:rPr>
          <w:w w:val="105"/>
          <w:sz w:val="15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країн</w:t>
      </w:r>
      <w:r>
        <w:rPr>
          <w:spacing w:val="-5"/>
          <w:w w:val="105"/>
          <w:sz w:val="15"/>
        </w:rPr>
        <w:t xml:space="preserve"> </w:t>
      </w:r>
      <w:r w:rsidRPr="00E014C4">
        <w:rPr>
          <w:w w:val="105"/>
          <w:sz w:val="15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у</w:t>
      </w:r>
      <w:r>
        <w:rPr>
          <w:spacing w:val="-3"/>
          <w:w w:val="105"/>
          <w:sz w:val="15"/>
        </w:rPr>
        <w:t xml:space="preserve"> </w:t>
      </w:r>
      <w:proofErr w:type="spellStart"/>
      <w:r w:rsidRPr="00E014C4">
        <w:rPr>
          <w:w w:val="105"/>
          <w:sz w:val="15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багатоцентрових</w:t>
      </w:r>
      <w:proofErr w:type="spellEnd"/>
      <w:r>
        <w:rPr>
          <w:spacing w:val="-3"/>
          <w:w w:val="105"/>
          <w:sz w:val="15"/>
        </w:rPr>
        <w:t xml:space="preserve"> </w:t>
      </w:r>
      <w:r w:rsidRPr="00E014C4">
        <w:rPr>
          <w:w w:val="105"/>
          <w:sz w:val="15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дослідженнях</w:t>
      </w:r>
      <w:r>
        <w:rPr>
          <w:spacing w:val="-2"/>
          <w:w w:val="105"/>
          <w:sz w:val="15"/>
        </w:rPr>
        <w:t xml:space="preserve"> </w:t>
      </w:r>
      <w:r w:rsidRPr="00E014C4">
        <w:rPr>
          <w:w w:val="105"/>
          <w:sz w:val="15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задля</w:t>
      </w:r>
      <w:r>
        <w:rPr>
          <w:spacing w:val="-4"/>
          <w:w w:val="105"/>
          <w:sz w:val="15"/>
        </w:rPr>
        <w:t xml:space="preserve"> </w:t>
      </w:r>
      <w:r w:rsidRPr="00E014C4">
        <w:rPr>
          <w:w w:val="105"/>
          <w:sz w:val="15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блага</w:t>
      </w:r>
      <w:r>
        <w:rPr>
          <w:spacing w:val="-5"/>
          <w:w w:val="105"/>
          <w:sz w:val="15"/>
        </w:rPr>
        <w:t xml:space="preserve"> </w:t>
      </w:r>
      <w:r w:rsidRPr="00E014C4">
        <w:rPr>
          <w:w w:val="105"/>
          <w:sz w:val="15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країн</w:t>
      </w:r>
      <w:r>
        <w:rPr>
          <w:spacing w:val="-4"/>
          <w:w w:val="105"/>
          <w:sz w:val="15"/>
        </w:rPr>
        <w:t xml:space="preserve"> </w:t>
      </w:r>
      <w:r w:rsidRPr="00E014C4">
        <w:rPr>
          <w:w w:val="105"/>
          <w:sz w:val="15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більш</w:t>
      </w:r>
      <w:r>
        <w:rPr>
          <w:spacing w:val="-5"/>
          <w:w w:val="105"/>
          <w:sz w:val="15"/>
        </w:rPr>
        <w:t xml:space="preserve"> </w:t>
      </w:r>
      <w:r w:rsidRPr="00E014C4">
        <w:rPr>
          <w:w w:val="105"/>
          <w:sz w:val="15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розвинених).</w:t>
      </w:r>
    </w:p>
    <w:p w:rsidR="00E014C4" w:rsidRDefault="00E014C4" w:rsidP="00E014C4">
      <w:pPr>
        <w:pStyle w:val="a3"/>
        <w:spacing w:before="8"/>
        <w:rPr>
          <w:sz w:val="27"/>
        </w:rPr>
      </w:pPr>
    </w:p>
    <w:tbl>
      <w:tblPr>
        <w:tblStyle w:val="TableNormal"/>
        <w:tblW w:w="0" w:type="auto"/>
        <w:tblInd w:w="2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92"/>
        <w:gridCol w:w="2397"/>
        <w:gridCol w:w="2503"/>
      </w:tblGrid>
      <w:tr w:rsidR="00E014C4" w:rsidTr="00E36811">
        <w:trPr>
          <w:trHeight w:val="252"/>
        </w:trPr>
        <w:tc>
          <w:tcPr>
            <w:tcW w:w="1492" w:type="dxa"/>
            <w:tcBorders>
              <w:bottom w:val="single" w:sz="12" w:space="0" w:color="000000"/>
              <w:right w:val="single" w:sz="4" w:space="0" w:color="000000"/>
            </w:tcBorders>
            <w:shd w:val="clear" w:color="auto" w:fill="7B7B7B"/>
          </w:tcPr>
          <w:p w:rsidR="00E014C4" w:rsidRDefault="00E014C4" w:rsidP="00E36811">
            <w:pPr>
              <w:pStyle w:val="TableParagraph"/>
              <w:spacing w:before="26"/>
              <w:ind w:right="411"/>
              <w:jc w:val="right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СЕКТОР</w:t>
            </w:r>
          </w:p>
        </w:tc>
        <w:tc>
          <w:tcPr>
            <w:tcW w:w="2397" w:type="dxa"/>
            <w:tcBorders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7B7B7B"/>
          </w:tcPr>
          <w:p w:rsidR="00E014C4" w:rsidRDefault="00E014C4" w:rsidP="00E36811">
            <w:pPr>
              <w:pStyle w:val="TableParagraph"/>
              <w:spacing w:before="26"/>
              <w:ind w:left="853" w:right="84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РИЗИКИ</w:t>
            </w:r>
          </w:p>
        </w:tc>
        <w:tc>
          <w:tcPr>
            <w:tcW w:w="2503" w:type="dxa"/>
            <w:tcBorders>
              <w:left w:val="single" w:sz="4" w:space="0" w:color="000000"/>
              <w:bottom w:val="single" w:sz="12" w:space="0" w:color="000000"/>
            </w:tcBorders>
            <w:shd w:val="clear" w:color="auto" w:fill="7B7B7B"/>
          </w:tcPr>
          <w:p w:rsidR="00E014C4" w:rsidRDefault="00E014C4" w:rsidP="00E36811">
            <w:pPr>
              <w:pStyle w:val="TableParagraph"/>
              <w:spacing w:before="26"/>
              <w:ind w:left="689"/>
              <w:jc w:val="left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МОЖЛИВОСТІ</w:t>
            </w:r>
          </w:p>
        </w:tc>
      </w:tr>
      <w:tr w:rsidR="00E014C4" w:rsidTr="00E36811">
        <w:trPr>
          <w:trHeight w:val="2255"/>
        </w:trPr>
        <w:tc>
          <w:tcPr>
            <w:tcW w:w="1492" w:type="dxa"/>
            <w:tcBorders>
              <w:top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E1E1E1"/>
          </w:tcPr>
          <w:p w:rsidR="00E014C4" w:rsidRDefault="00E014C4" w:rsidP="00E36811">
            <w:pPr>
              <w:pStyle w:val="TableParagraph"/>
              <w:spacing w:before="18" w:line="247" w:lineRule="auto"/>
              <w:ind w:left="61" w:right="78"/>
              <w:jc w:val="left"/>
              <w:rPr>
                <w:rFonts w:ascii="Microsoft Sans Serif" w:hAnsi="Microsoft Sans Serif"/>
                <w:sz w:val="14"/>
              </w:rPr>
            </w:pPr>
            <w:r>
              <w:rPr>
                <w:rFonts w:ascii="Microsoft Sans Serif" w:hAnsi="Microsoft Sans Serif"/>
                <w:sz w:val="14"/>
              </w:rPr>
              <w:t>Транспортування та</w:t>
            </w:r>
            <w:r>
              <w:rPr>
                <w:rFonts w:ascii="Microsoft Sans Serif" w:hAnsi="Microsoft Sans Serif"/>
                <w:spacing w:val="-34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аерокосмічний</w:t>
            </w:r>
            <w:r>
              <w:rPr>
                <w:rFonts w:ascii="Microsoft Sans Serif" w:hAnsi="Microsoft Sans Serif"/>
                <w:spacing w:val="1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сектор</w:t>
            </w:r>
          </w:p>
        </w:tc>
        <w:tc>
          <w:tcPr>
            <w:tcW w:w="2397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1E1"/>
          </w:tcPr>
          <w:p w:rsidR="00E014C4" w:rsidRDefault="00E014C4" w:rsidP="00E36811">
            <w:pPr>
              <w:pStyle w:val="TableParagraph"/>
              <w:spacing w:before="18" w:line="247" w:lineRule="auto"/>
              <w:ind w:left="63" w:right="53"/>
              <w:jc w:val="left"/>
              <w:rPr>
                <w:rFonts w:ascii="Microsoft Sans Serif" w:hAnsi="Microsoft Sans Serif"/>
                <w:sz w:val="14"/>
              </w:rPr>
            </w:pPr>
            <w:r>
              <w:rPr>
                <w:rFonts w:ascii="Microsoft Sans Serif" w:hAnsi="Microsoft Sans Serif"/>
                <w:sz w:val="14"/>
              </w:rPr>
              <w:t>Автомобільний</w:t>
            </w:r>
            <w:r>
              <w:rPr>
                <w:rFonts w:ascii="Microsoft Sans Serif" w:hAnsi="Microsoft Sans Serif"/>
                <w:spacing w:val="2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ринок</w:t>
            </w:r>
            <w:r>
              <w:rPr>
                <w:rFonts w:ascii="Microsoft Sans Serif" w:hAnsi="Microsoft Sans Serif"/>
                <w:spacing w:val="1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зростає,</w:t>
            </w:r>
            <w:r>
              <w:rPr>
                <w:rFonts w:ascii="Microsoft Sans Serif" w:hAnsi="Microsoft Sans Serif"/>
                <w:spacing w:val="1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проте існує</w:t>
            </w:r>
            <w:r>
              <w:rPr>
                <w:rFonts w:ascii="Microsoft Sans Serif" w:hAnsi="Microsoft Sans Serif"/>
                <w:spacing w:val="1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суттєва</w:t>
            </w:r>
            <w:r>
              <w:rPr>
                <w:rFonts w:ascii="Microsoft Sans Serif" w:hAnsi="Microsoft Sans Serif"/>
                <w:spacing w:val="2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конкуренція з</w:t>
            </w:r>
            <w:r>
              <w:rPr>
                <w:rFonts w:ascii="Microsoft Sans Serif" w:hAnsi="Microsoft Sans Serif"/>
                <w:spacing w:val="1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боку</w:t>
            </w:r>
            <w:r>
              <w:rPr>
                <w:rFonts w:ascii="Microsoft Sans Serif" w:hAnsi="Microsoft Sans Serif"/>
                <w:spacing w:val="2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виробників</w:t>
            </w:r>
            <w:r>
              <w:rPr>
                <w:rFonts w:ascii="Microsoft Sans Serif" w:hAnsi="Microsoft Sans Serif"/>
                <w:spacing w:val="1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США</w:t>
            </w:r>
            <w:r>
              <w:rPr>
                <w:rFonts w:ascii="Microsoft Sans Serif" w:hAnsi="Microsoft Sans Serif"/>
                <w:spacing w:val="2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та</w:t>
            </w:r>
            <w:r>
              <w:rPr>
                <w:rFonts w:ascii="Microsoft Sans Serif" w:hAnsi="Microsoft Sans Serif"/>
                <w:spacing w:val="1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КНР.</w:t>
            </w:r>
            <w:r>
              <w:rPr>
                <w:rFonts w:ascii="Microsoft Sans Serif" w:hAnsi="Microsoft Sans Serif"/>
                <w:spacing w:val="2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Інші</w:t>
            </w:r>
            <w:r>
              <w:rPr>
                <w:rFonts w:ascii="Microsoft Sans Serif" w:hAnsi="Microsoft Sans Serif"/>
                <w:spacing w:val="-34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види</w:t>
            </w:r>
            <w:r>
              <w:rPr>
                <w:rFonts w:ascii="Microsoft Sans Serif" w:hAnsi="Microsoft Sans Serif"/>
                <w:spacing w:val="37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використання</w:t>
            </w:r>
            <w:r>
              <w:rPr>
                <w:rFonts w:ascii="Microsoft Sans Serif" w:hAnsi="Microsoft Sans Serif"/>
                <w:spacing w:val="1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нанотехнологій</w:t>
            </w:r>
            <w:r>
              <w:rPr>
                <w:rFonts w:ascii="Microsoft Sans Serif" w:hAnsi="Microsoft Sans Serif"/>
                <w:spacing w:val="37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у</w:t>
            </w:r>
            <w:r>
              <w:rPr>
                <w:rFonts w:ascii="Microsoft Sans Serif" w:hAnsi="Microsoft Sans Serif"/>
                <w:spacing w:val="37"/>
                <w:sz w:val="14"/>
              </w:rPr>
              <w:t xml:space="preserve"> </w:t>
            </w:r>
            <w:proofErr w:type="spellStart"/>
            <w:r>
              <w:rPr>
                <w:rFonts w:ascii="Microsoft Sans Serif" w:hAnsi="Microsoft Sans Serif"/>
                <w:sz w:val="14"/>
              </w:rPr>
              <w:t>транспортувані</w:t>
            </w:r>
            <w:proofErr w:type="spellEnd"/>
            <w:r>
              <w:rPr>
                <w:rFonts w:ascii="Microsoft Sans Serif" w:hAnsi="Microsoft Sans Serif"/>
                <w:spacing w:val="1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є</w:t>
            </w:r>
            <w:r>
              <w:rPr>
                <w:rFonts w:ascii="Microsoft Sans Serif" w:hAnsi="Microsoft Sans Serif"/>
                <w:spacing w:val="4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процесними,</w:t>
            </w:r>
            <w:r>
              <w:rPr>
                <w:rFonts w:ascii="Microsoft Sans Serif" w:hAnsi="Microsoft Sans Serif"/>
                <w:spacing w:val="4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часто</w:t>
            </w:r>
            <w:r>
              <w:rPr>
                <w:rFonts w:ascii="Microsoft Sans Serif" w:hAnsi="Microsoft Sans Serif"/>
                <w:spacing w:val="4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потребують</w:t>
            </w:r>
            <w:r>
              <w:rPr>
                <w:rFonts w:ascii="Microsoft Sans Serif" w:hAnsi="Microsoft Sans Serif"/>
                <w:spacing w:val="1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адаптації</w:t>
            </w:r>
            <w:r>
              <w:rPr>
                <w:rFonts w:ascii="Microsoft Sans Serif" w:hAnsi="Microsoft Sans Serif"/>
                <w:spacing w:val="7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з</w:t>
            </w:r>
            <w:r>
              <w:rPr>
                <w:rFonts w:ascii="Microsoft Sans Serif" w:hAnsi="Microsoft Sans Serif"/>
                <w:spacing w:val="8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боку</w:t>
            </w:r>
            <w:r>
              <w:rPr>
                <w:rFonts w:ascii="Microsoft Sans Serif" w:hAnsi="Microsoft Sans Serif"/>
                <w:spacing w:val="9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споживачів,</w:t>
            </w:r>
            <w:r>
              <w:rPr>
                <w:rFonts w:ascii="Microsoft Sans Serif" w:hAnsi="Microsoft Sans Serif"/>
                <w:spacing w:val="1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таким</w:t>
            </w:r>
            <w:r>
              <w:rPr>
                <w:rFonts w:ascii="Microsoft Sans Serif" w:hAnsi="Microsoft Sans Serif"/>
                <w:spacing w:val="1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чином</w:t>
            </w:r>
            <w:r>
              <w:rPr>
                <w:rFonts w:ascii="Microsoft Sans Serif" w:hAnsi="Microsoft Sans Serif"/>
                <w:spacing w:val="1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знижуючи</w:t>
            </w:r>
            <w:r>
              <w:rPr>
                <w:rFonts w:ascii="Microsoft Sans Serif" w:hAnsi="Microsoft Sans Serif"/>
                <w:spacing w:val="1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сприйняття.</w:t>
            </w:r>
            <w:r>
              <w:rPr>
                <w:rFonts w:ascii="Microsoft Sans Serif" w:hAnsi="Microsoft Sans Serif"/>
                <w:spacing w:val="-1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Зокрема,</w:t>
            </w:r>
            <w:r>
              <w:rPr>
                <w:rFonts w:ascii="Microsoft Sans Serif" w:hAnsi="Microsoft Sans Serif"/>
                <w:spacing w:val="1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перехід</w:t>
            </w:r>
            <w:r>
              <w:rPr>
                <w:rFonts w:ascii="Microsoft Sans Serif" w:hAnsi="Microsoft Sans Serif"/>
                <w:spacing w:val="1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зі</w:t>
            </w:r>
            <w:r>
              <w:rPr>
                <w:rFonts w:ascii="Microsoft Sans Serif" w:hAnsi="Microsoft Sans Serif"/>
                <w:spacing w:val="1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сталі</w:t>
            </w:r>
            <w:r>
              <w:rPr>
                <w:rFonts w:ascii="Microsoft Sans Serif" w:hAnsi="Microsoft Sans Serif"/>
                <w:spacing w:val="1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 xml:space="preserve">на </w:t>
            </w:r>
            <w:proofErr w:type="spellStart"/>
            <w:r>
              <w:rPr>
                <w:rFonts w:ascii="Microsoft Sans Serif" w:hAnsi="Microsoft Sans Serif"/>
                <w:sz w:val="14"/>
              </w:rPr>
              <w:t>наноносичені</w:t>
            </w:r>
            <w:proofErr w:type="spellEnd"/>
            <w:r>
              <w:rPr>
                <w:rFonts w:ascii="Microsoft Sans Serif" w:hAnsi="Microsoft Sans Serif"/>
                <w:sz w:val="14"/>
              </w:rPr>
              <w:t xml:space="preserve"> композитні</w:t>
            </w:r>
            <w:r>
              <w:rPr>
                <w:rFonts w:ascii="Microsoft Sans Serif" w:hAnsi="Microsoft Sans Serif"/>
                <w:spacing w:val="1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матеріали</w:t>
            </w:r>
            <w:r>
              <w:rPr>
                <w:rFonts w:ascii="Microsoft Sans Serif" w:hAnsi="Microsoft Sans Serif"/>
                <w:spacing w:val="1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вимагатиме</w:t>
            </w:r>
            <w:r>
              <w:rPr>
                <w:rFonts w:ascii="Microsoft Sans Serif" w:hAnsi="Microsoft Sans Serif"/>
                <w:spacing w:val="1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екстенсивних змін у виробничому</w:t>
            </w:r>
            <w:r>
              <w:rPr>
                <w:rFonts w:ascii="Microsoft Sans Serif" w:hAnsi="Microsoft Sans Serif"/>
                <w:spacing w:val="1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обладнанні</w:t>
            </w:r>
          </w:p>
        </w:tc>
        <w:tc>
          <w:tcPr>
            <w:tcW w:w="250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</w:tcBorders>
            <w:shd w:val="clear" w:color="auto" w:fill="E1E1E1"/>
          </w:tcPr>
          <w:p w:rsidR="00E014C4" w:rsidRDefault="00E014C4" w:rsidP="00E36811">
            <w:pPr>
              <w:pStyle w:val="TableParagraph"/>
              <w:spacing w:before="18" w:line="247" w:lineRule="auto"/>
              <w:ind w:left="64" w:right="117"/>
              <w:jc w:val="left"/>
              <w:rPr>
                <w:rFonts w:ascii="Microsoft Sans Serif" w:hAnsi="Microsoft Sans Serif"/>
                <w:sz w:val="14"/>
              </w:rPr>
            </w:pPr>
            <w:r>
              <w:rPr>
                <w:rFonts w:ascii="Microsoft Sans Serif" w:hAnsi="Microsoft Sans Serif"/>
                <w:sz w:val="14"/>
              </w:rPr>
              <w:t>Основна</w:t>
            </w:r>
            <w:r>
              <w:rPr>
                <w:rFonts w:ascii="Microsoft Sans Serif" w:hAnsi="Microsoft Sans Serif"/>
                <w:spacing w:val="2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можливість</w:t>
            </w:r>
            <w:r>
              <w:rPr>
                <w:rFonts w:ascii="Microsoft Sans Serif" w:hAnsi="Microsoft Sans Serif"/>
                <w:spacing w:val="1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полягає</w:t>
            </w:r>
            <w:r>
              <w:rPr>
                <w:rFonts w:ascii="Microsoft Sans Serif" w:hAnsi="Microsoft Sans Serif"/>
                <w:spacing w:val="3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в</w:t>
            </w:r>
            <w:r>
              <w:rPr>
                <w:rFonts w:ascii="Microsoft Sans Serif" w:hAnsi="Microsoft Sans Serif"/>
                <w:spacing w:val="1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поліпшенні</w:t>
            </w:r>
            <w:r>
              <w:rPr>
                <w:rFonts w:ascii="Microsoft Sans Serif" w:hAnsi="Microsoft Sans Serif"/>
                <w:spacing w:val="2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акумуляторів</w:t>
            </w:r>
            <w:r>
              <w:rPr>
                <w:rFonts w:ascii="Microsoft Sans Serif" w:hAnsi="Microsoft Sans Serif"/>
                <w:spacing w:val="2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для</w:t>
            </w:r>
            <w:r>
              <w:rPr>
                <w:rFonts w:ascii="Microsoft Sans Serif" w:hAnsi="Microsoft Sans Serif"/>
                <w:spacing w:val="1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електромобілів;</w:t>
            </w:r>
            <w:r>
              <w:rPr>
                <w:rFonts w:ascii="Microsoft Sans Serif" w:hAnsi="Microsoft Sans Serif"/>
                <w:spacing w:val="2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чітка</w:t>
            </w:r>
            <w:r>
              <w:rPr>
                <w:rFonts w:ascii="Microsoft Sans Serif" w:hAnsi="Microsoft Sans Serif"/>
                <w:spacing w:val="1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відповідність</w:t>
            </w:r>
            <w:r>
              <w:rPr>
                <w:rFonts w:ascii="Microsoft Sans Serif" w:hAnsi="Microsoft Sans Serif"/>
                <w:spacing w:val="-35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потребам</w:t>
            </w:r>
            <w:r>
              <w:rPr>
                <w:rFonts w:ascii="Microsoft Sans Serif" w:hAnsi="Microsoft Sans Serif"/>
                <w:spacing w:val="1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ринку,</w:t>
            </w:r>
            <w:r>
              <w:rPr>
                <w:rFonts w:ascii="Microsoft Sans Serif" w:hAnsi="Microsoft Sans Serif"/>
                <w:spacing w:val="1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державна</w:t>
            </w:r>
            <w:r>
              <w:rPr>
                <w:rFonts w:ascii="Microsoft Sans Serif" w:hAnsi="Microsoft Sans Serif"/>
                <w:spacing w:val="1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підтримка</w:t>
            </w:r>
            <w:r>
              <w:rPr>
                <w:rFonts w:ascii="Microsoft Sans Serif" w:hAnsi="Microsoft Sans Serif"/>
                <w:spacing w:val="1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й</w:t>
            </w:r>
            <w:r>
              <w:rPr>
                <w:rFonts w:ascii="Microsoft Sans Serif" w:hAnsi="Microsoft Sans Serif"/>
                <w:spacing w:val="2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наявна технологія</w:t>
            </w:r>
            <w:r>
              <w:rPr>
                <w:rFonts w:ascii="Microsoft Sans Serif" w:hAnsi="Microsoft Sans Serif"/>
                <w:spacing w:val="1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відіграють</w:t>
            </w:r>
            <w:r>
              <w:rPr>
                <w:rFonts w:ascii="Microsoft Sans Serif" w:hAnsi="Microsoft Sans Serif"/>
                <w:spacing w:val="4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суттєву</w:t>
            </w:r>
            <w:r>
              <w:rPr>
                <w:rFonts w:ascii="Microsoft Sans Serif" w:hAnsi="Microsoft Sans Serif"/>
                <w:spacing w:val="4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роль.</w:t>
            </w:r>
            <w:r>
              <w:rPr>
                <w:rFonts w:ascii="Microsoft Sans Serif" w:hAnsi="Microsoft Sans Serif"/>
                <w:spacing w:val="3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Інші</w:t>
            </w:r>
            <w:r>
              <w:rPr>
                <w:rFonts w:ascii="Microsoft Sans Serif" w:hAnsi="Microsoft Sans Serif"/>
                <w:spacing w:val="1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можливості</w:t>
            </w:r>
            <w:r>
              <w:rPr>
                <w:rFonts w:ascii="Microsoft Sans Serif" w:hAnsi="Microsoft Sans Serif"/>
                <w:spacing w:val="1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полягають</w:t>
            </w:r>
            <w:r>
              <w:rPr>
                <w:rFonts w:ascii="Microsoft Sans Serif" w:hAnsi="Microsoft Sans Serif"/>
                <w:spacing w:val="2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у</w:t>
            </w:r>
            <w:r>
              <w:rPr>
                <w:rFonts w:ascii="Microsoft Sans Serif" w:hAnsi="Microsoft Sans Serif"/>
                <w:spacing w:val="1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використанні</w:t>
            </w:r>
            <w:r>
              <w:rPr>
                <w:rFonts w:ascii="Microsoft Sans Serif" w:hAnsi="Microsoft Sans Serif"/>
                <w:spacing w:val="5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нових</w:t>
            </w:r>
            <w:r>
              <w:rPr>
                <w:rFonts w:ascii="Microsoft Sans Serif" w:hAnsi="Microsoft Sans Serif"/>
                <w:spacing w:val="3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матеріалів</w:t>
            </w:r>
            <w:r>
              <w:rPr>
                <w:rFonts w:ascii="Microsoft Sans Serif" w:hAnsi="Microsoft Sans Serif"/>
                <w:spacing w:val="4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для</w:t>
            </w:r>
            <w:r>
              <w:rPr>
                <w:rFonts w:ascii="Microsoft Sans Serif" w:hAnsi="Microsoft Sans Serif"/>
                <w:spacing w:val="-35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транспортних</w:t>
            </w:r>
            <w:r>
              <w:rPr>
                <w:rFonts w:ascii="Microsoft Sans Serif" w:hAnsi="Microsoft Sans Serif"/>
                <w:spacing w:val="1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засобів,</w:t>
            </w:r>
            <w:r>
              <w:rPr>
                <w:rFonts w:ascii="Microsoft Sans Serif" w:hAnsi="Microsoft Sans Serif"/>
                <w:spacing w:val="2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наприклад</w:t>
            </w:r>
            <w:r>
              <w:rPr>
                <w:rFonts w:ascii="Microsoft Sans Serif" w:hAnsi="Microsoft Sans Serif"/>
                <w:spacing w:val="1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перехід</w:t>
            </w:r>
            <w:r>
              <w:rPr>
                <w:rFonts w:ascii="Microsoft Sans Serif" w:hAnsi="Microsoft Sans Serif"/>
                <w:spacing w:val="1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компанією</w:t>
            </w:r>
            <w:r>
              <w:rPr>
                <w:rFonts w:ascii="Microsoft Sans Serif" w:hAnsi="Microsoft Sans Serif"/>
                <w:spacing w:val="1"/>
                <w:sz w:val="14"/>
              </w:rPr>
              <w:t xml:space="preserve"> </w:t>
            </w:r>
            <w:proofErr w:type="spellStart"/>
            <w:r>
              <w:rPr>
                <w:rFonts w:ascii="Microsoft Sans Serif" w:hAnsi="Microsoft Sans Serif"/>
                <w:sz w:val="14"/>
              </w:rPr>
              <w:t>Боінг</w:t>
            </w:r>
            <w:proofErr w:type="spellEnd"/>
            <w:r>
              <w:rPr>
                <w:rFonts w:ascii="Microsoft Sans Serif" w:hAnsi="Microsoft Sans Serif"/>
                <w:spacing w:val="2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на</w:t>
            </w:r>
            <w:r>
              <w:rPr>
                <w:rFonts w:ascii="Microsoft Sans Serif" w:hAnsi="Microsoft Sans Serif"/>
                <w:spacing w:val="1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використання</w:t>
            </w:r>
            <w:r>
              <w:rPr>
                <w:rFonts w:ascii="Microsoft Sans Serif" w:hAnsi="Microsoft Sans Serif"/>
                <w:spacing w:val="2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композитних</w:t>
            </w:r>
            <w:r>
              <w:rPr>
                <w:rFonts w:ascii="Microsoft Sans Serif" w:hAnsi="Microsoft Sans Serif"/>
                <w:spacing w:val="1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матеріалів</w:t>
            </w:r>
            <w:r>
              <w:rPr>
                <w:rFonts w:ascii="Microsoft Sans Serif" w:hAnsi="Microsoft Sans Serif"/>
                <w:spacing w:val="3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у</w:t>
            </w:r>
            <w:r>
              <w:rPr>
                <w:rFonts w:ascii="Microsoft Sans Serif" w:hAnsi="Microsoft Sans Serif"/>
                <w:spacing w:val="3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787</w:t>
            </w:r>
            <w:r>
              <w:rPr>
                <w:rFonts w:ascii="Microsoft Sans Serif" w:hAnsi="Microsoft Sans Serif"/>
                <w:spacing w:val="2"/>
                <w:sz w:val="14"/>
              </w:rPr>
              <w:t xml:space="preserve"> </w:t>
            </w:r>
            <w:proofErr w:type="spellStart"/>
            <w:r>
              <w:rPr>
                <w:rFonts w:ascii="Microsoft Sans Serif" w:hAnsi="Microsoft Sans Serif"/>
                <w:sz w:val="14"/>
              </w:rPr>
              <w:t>Dreamliner</w:t>
            </w:r>
            <w:proofErr w:type="spellEnd"/>
          </w:p>
        </w:tc>
      </w:tr>
      <w:tr w:rsidR="00E014C4" w:rsidTr="00E36811">
        <w:trPr>
          <w:trHeight w:val="1171"/>
        </w:trPr>
        <w:tc>
          <w:tcPr>
            <w:tcW w:w="14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14C4" w:rsidRDefault="00E014C4" w:rsidP="00E36811">
            <w:pPr>
              <w:pStyle w:val="TableParagraph"/>
              <w:spacing w:before="29"/>
              <w:ind w:right="420"/>
              <w:jc w:val="right"/>
              <w:rPr>
                <w:rFonts w:ascii="Microsoft Sans Serif" w:hAnsi="Microsoft Sans Serif"/>
                <w:sz w:val="14"/>
              </w:rPr>
            </w:pPr>
            <w:proofErr w:type="spellStart"/>
            <w:r>
              <w:rPr>
                <w:rFonts w:ascii="Microsoft Sans Serif" w:hAnsi="Microsoft Sans Serif"/>
                <w:sz w:val="14"/>
              </w:rPr>
              <w:t>Наномедицина</w:t>
            </w:r>
            <w:proofErr w:type="spellEnd"/>
          </w:p>
        </w:tc>
        <w:tc>
          <w:tcPr>
            <w:tcW w:w="2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14C4" w:rsidRDefault="00E014C4" w:rsidP="00E36811">
            <w:pPr>
              <w:pStyle w:val="TableParagraph"/>
              <w:spacing w:before="28" w:line="247" w:lineRule="auto"/>
              <w:ind w:left="63" w:right="60"/>
              <w:jc w:val="left"/>
              <w:rPr>
                <w:rFonts w:ascii="Microsoft Sans Serif" w:hAnsi="Microsoft Sans Serif"/>
                <w:sz w:val="14"/>
              </w:rPr>
            </w:pPr>
            <w:r>
              <w:rPr>
                <w:rFonts w:ascii="Microsoft Sans Serif" w:hAnsi="Microsoft Sans Serif"/>
                <w:sz w:val="14"/>
              </w:rPr>
              <w:t>Процес</w:t>
            </w:r>
            <w:r>
              <w:rPr>
                <w:rFonts w:ascii="Microsoft Sans Serif" w:hAnsi="Microsoft Sans Serif"/>
                <w:spacing w:val="37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регуляторного</w:t>
            </w:r>
            <w:r>
              <w:rPr>
                <w:rFonts w:ascii="Microsoft Sans Serif" w:hAnsi="Microsoft Sans Serif"/>
                <w:spacing w:val="1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узгодження</w:t>
            </w:r>
            <w:r>
              <w:rPr>
                <w:rFonts w:ascii="Microsoft Sans Serif" w:hAnsi="Microsoft Sans Serif"/>
                <w:spacing w:val="2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є</w:t>
            </w:r>
            <w:r>
              <w:rPr>
                <w:rFonts w:ascii="Microsoft Sans Serif" w:hAnsi="Microsoft Sans Serif"/>
                <w:spacing w:val="2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достатньо</w:t>
            </w:r>
            <w:r>
              <w:rPr>
                <w:rFonts w:ascii="Microsoft Sans Serif" w:hAnsi="Microsoft Sans Serif"/>
                <w:spacing w:val="3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тривалим</w:t>
            </w:r>
            <w:r>
              <w:rPr>
                <w:rFonts w:ascii="Microsoft Sans Serif" w:hAnsi="Microsoft Sans Serif"/>
                <w:spacing w:val="-34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і</w:t>
            </w:r>
            <w:r>
              <w:rPr>
                <w:rFonts w:ascii="Microsoft Sans Serif" w:hAnsi="Microsoft Sans Serif"/>
                <w:spacing w:val="2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витратним,</w:t>
            </w:r>
            <w:r>
              <w:rPr>
                <w:rFonts w:ascii="Microsoft Sans Serif" w:hAnsi="Microsoft Sans Serif"/>
                <w:spacing w:val="3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що</w:t>
            </w:r>
            <w:r>
              <w:rPr>
                <w:rFonts w:ascii="Microsoft Sans Serif" w:hAnsi="Microsoft Sans Serif"/>
                <w:spacing w:val="3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обумовлює</w:t>
            </w:r>
            <w:r>
              <w:rPr>
                <w:rFonts w:ascii="Microsoft Sans Serif" w:hAnsi="Microsoft Sans Serif"/>
                <w:spacing w:val="1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зростання</w:t>
            </w:r>
            <w:r>
              <w:rPr>
                <w:rFonts w:ascii="Microsoft Sans Serif" w:hAnsi="Microsoft Sans Serif"/>
                <w:spacing w:val="3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необхідного</w:t>
            </w:r>
            <w:r>
              <w:rPr>
                <w:rFonts w:ascii="Microsoft Sans Serif" w:hAnsi="Microsoft Sans Serif"/>
                <w:spacing w:val="1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обсягу</w:t>
            </w:r>
            <w:r>
              <w:rPr>
                <w:rFonts w:ascii="Microsoft Sans Serif" w:hAnsi="Microsoft Sans Serif"/>
                <w:spacing w:val="1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інвестицій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E014C4" w:rsidRDefault="00E014C4" w:rsidP="00E36811">
            <w:pPr>
              <w:pStyle w:val="TableParagraph"/>
              <w:spacing w:before="28" w:line="247" w:lineRule="auto"/>
              <w:ind w:left="64" w:right="41"/>
              <w:jc w:val="left"/>
              <w:rPr>
                <w:rFonts w:ascii="Microsoft Sans Serif" w:hAnsi="Microsoft Sans Serif"/>
                <w:sz w:val="14"/>
              </w:rPr>
            </w:pPr>
            <w:r>
              <w:rPr>
                <w:rFonts w:ascii="Microsoft Sans Serif" w:hAnsi="Microsoft Sans Serif"/>
                <w:sz w:val="14"/>
              </w:rPr>
              <w:t>Вакцини</w:t>
            </w:r>
            <w:r>
              <w:rPr>
                <w:rFonts w:ascii="Microsoft Sans Serif" w:hAnsi="Microsoft Sans Serif"/>
                <w:spacing w:val="1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без</w:t>
            </w:r>
            <w:r>
              <w:rPr>
                <w:rFonts w:ascii="Microsoft Sans Serif" w:hAnsi="Microsoft Sans Serif"/>
                <w:spacing w:val="1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голки,</w:t>
            </w:r>
            <w:r>
              <w:rPr>
                <w:rFonts w:ascii="Microsoft Sans Serif" w:hAnsi="Microsoft Sans Serif"/>
                <w:spacing w:val="1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рання</w:t>
            </w:r>
            <w:r>
              <w:rPr>
                <w:rFonts w:ascii="Microsoft Sans Serif" w:hAnsi="Microsoft Sans Serif"/>
                <w:spacing w:val="1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діагностика раку та його покращене</w:t>
            </w:r>
            <w:r>
              <w:rPr>
                <w:rFonts w:ascii="Microsoft Sans Serif" w:hAnsi="Microsoft Sans Serif"/>
                <w:spacing w:val="-35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лікування,</w:t>
            </w:r>
            <w:r>
              <w:rPr>
                <w:rFonts w:ascii="Microsoft Sans Serif" w:hAnsi="Microsoft Sans Serif"/>
                <w:spacing w:val="1"/>
                <w:sz w:val="14"/>
              </w:rPr>
              <w:t xml:space="preserve"> </w:t>
            </w:r>
            <w:proofErr w:type="spellStart"/>
            <w:r>
              <w:rPr>
                <w:rFonts w:ascii="Microsoft Sans Serif" w:hAnsi="Microsoft Sans Serif"/>
                <w:sz w:val="14"/>
              </w:rPr>
              <w:t>біоімплантанти</w:t>
            </w:r>
            <w:proofErr w:type="spellEnd"/>
            <w:r>
              <w:rPr>
                <w:rFonts w:ascii="Microsoft Sans Serif" w:hAnsi="Microsoft Sans Serif"/>
                <w:sz w:val="14"/>
              </w:rPr>
              <w:t>,</w:t>
            </w:r>
            <w:r>
              <w:rPr>
                <w:rFonts w:ascii="Microsoft Sans Serif" w:hAnsi="Microsoft Sans Serif"/>
                <w:spacing w:val="1"/>
                <w:sz w:val="14"/>
              </w:rPr>
              <w:t xml:space="preserve"> </w:t>
            </w:r>
            <w:proofErr w:type="spellStart"/>
            <w:r>
              <w:rPr>
                <w:rFonts w:ascii="Microsoft Sans Serif" w:hAnsi="Microsoft Sans Serif"/>
                <w:sz w:val="14"/>
              </w:rPr>
              <w:t>проактивне</w:t>
            </w:r>
            <w:proofErr w:type="spellEnd"/>
            <w:r>
              <w:rPr>
                <w:rFonts w:ascii="Microsoft Sans Serif" w:hAnsi="Microsoft Sans Serif"/>
                <w:sz w:val="14"/>
              </w:rPr>
              <w:t xml:space="preserve"> лікування ран. НДДКР</w:t>
            </w:r>
            <w:r>
              <w:rPr>
                <w:rFonts w:ascii="Microsoft Sans Serif" w:hAnsi="Microsoft Sans Serif"/>
                <w:spacing w:val="1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шляхом</w:t>
            </w:r>
            <w:r>
              <w:rPr>
                <w:rFonts w:ascii="Microsoft Sans Serif" w:hAnsi="Microsoft Sans Serif"/>
                <w:spacing w:val="3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злиття</w:t>
            </w:r>
            <w:r>
              <w:rPr>
                <w:rFonts w:ascii="Microsoft Sans Serif" w:hAnsi="Microsoft Sans Serif"/>
                <w:spacing w:val="3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й</w:t>
            </w:r>
            <w:r>
              <w:rPr>
                <w:rFonts w:ascii="Microsoft Sans Serif" w:hAnsi="Microsoft Sans Serif"/>
                <w:spacing w:val="3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поглинання</w:t>
            </w:r>
          </w:p>
        </w:tc>
      </w:tr>
    </w:tbl>
    <w:p w:rsidR="00E014C4" w:rsidRDefault="00E014C4" w:rsidP="00E014C4">
      <w:pPr>
        <w:spacing w:line="247" w:lineRule="auto"/>
        <w:rPr>
          <w:sz w:val="14"/>
        </w:rPr>
        <w:sectPr w:rsidR="00E014C4">
          <w:pgSz w:w="7920" w:h="12240"/>
          <w:pgMar w:top="1100" w:right="560" w:bottom="1040" w:left="560" w:header="0" w:footer="844" w:gutter="0"/>
          <w:cols w:space="720"/>
        </w:sectPr>
      </w:pPr>
    </w:p>
    <w:tbl>
      <w:tblPr>
        <w:tblStyle w:val="TableNormal"/>
        <w:tblW w:w="0" w:type="auto"/>
        <w:tblInd w:w="23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85"/>
        <w:gridCol w:w="2387"/>
        <w:gridCol w:w="2493"/>
      </w:tblGrid>
      <w:tr w:rsidR="00E014C4" w:rsidTr="00E36811">
        <w:trPr>
          <w:trHeight w:val="251"/>
        </w:trPr>
        <w:tc>
          <w:tcPr>
            <w:tcW w:w="1485" w:type="dxa"/>
            <w:tcBorders>
              <w:bottom w:val="single" w:sz="12" w:space="0" w:color="000000"/>
              <w:right w:val="single" w:sz="4" w:space="0" w:color="000000"/>
            </w:tcBorders>
            <w:shd w:val="clear" w:color="auto" w:fill="7B7B7B"/>
          </w:tcPr>
          <w:p w:rsidR="00E014C4" w:rsidRDefault="00E014C4" w:rsidP="00E36811">
            <w:pPr>
              <w:pStyle w:val="TableParagraph"/>
              <w:spacing w:before="22"/>
              <w:ind w:left="416"/>
              <w:jc w:val="left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lastRenderedPageBreak/>
              <w:t>СЕКТОР</w:t>
            </w:r>
          </w:p>
        </w:tc>
        <w:tc>
          <w:tcPr>
            <w:tcW w:w="2387" w:type="dxa"/>
            <w:tcBorders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7B7B7B"/>
          </w:tcPr>
          <w:p w:rsidR="00E014C4" w:rsidRDefault="00E014C4" w:rsidP="00E36811">
            <w:pPr>
              <w:pStyle w:val="TableParagraph"/>
              <w:spacing w:before="22"/>
              <w:ind w:left="847" w:right="8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РИЗИКИ</w:t>
            </w:r>
          </w:p>
        </w:tc>
        <w:tc>
          <w:tcPr>
            <w:tcW w:w="2493" w:type="dxa"/>
            <w:tcBorders>
              <w:left w:val="single" w:sz="4" w:space="0" w:color="000000"/>
              <w:bottom w:val="single" w:sz="12" w:space="0" w:color="000000"/>
            </w:tcBorders>
            <w:shd w:val="clear" w:color="auto" w:fill="7B7B7B"/>
          </w:tcPr>
          <w:p w:rsidR="00E014C4" w:rsidRDefault="00E014C4" w:rsidP="00E36811">
            <w:pPr>
              <w:pStyle w:val="TableParagraph"/>
              <w:spacing w:before="22"/>
              <w:ind w:left="685"/>
              <w:jc w:val="left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МОЖЛИВОСТІ</w:t>
            </w:r>
          </w:p>
        </w:tc>
      </w:tr>
      <w:tr w:rsidR="00E014C4" w:rsidTr="00E36811">
        <w:trPr>
          <w:trHeight w:val="1571"/>
        </w:trPr>
        <w:tc>
          <w:tcPr>
            <w:tcW w:w="1485" w:type="dxa"/>
            <w:tcBorders>
              <w:top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E1E1E1"/>
          </w:tcPr>
          <w:p w:rsidR="00E014C4" w:rsidRDefault="00E014C4" w:rsidP="00E36811">
            <w:pPr>
              <w:pStyle w:val="TableParagraph"/>
              <w:spacing w:before="14"/>
              <w:ind w:left="60"/>
              <w:jc w:val="left"/>
              <w:rPr>
                <w:rFonts w:ascii="Microsoft Sans Serif" w:hAnsi="Microsoft Sans Serif"/>
                <w:sz w:val="14"/>
              </w:rPr>
            </w:pPr>
            <w:r>
              <w:rPr>
                <w:rFonts w:ascii="Microsoft Sans Serif" w:hAnsi="Microsoft Sans Serif"/>
                <w:sz w:val="14"/>
              </w:rPr>
              <w:t>Електроніка</w:t>
            </w:r>
          </w:p>
        </w:tc>
        <w:tc>
          <w:tcPr>
            <w:tcW w:w="2387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1E1"/>
          </w:tcPr>
          <w:p w:rsidR="00E014C4" w:rsidRDefault="00E014C4" w:rsidP="00E36811">
            <w:pPr>
              <w:pStyle w:val="TableParagraph"/>
              <w:spacing w:before="13" w:line="247" w:lineRule="auto"/>
              <w:ind w:left="63" w:right="376"/>
              <w:jc w:val="left"/>
              <w:rPr>
                <w:rFonts w:ascii="Microsoft Sans Serif" w:hAnsi="Microsoft Sans Serif"/>
                <w:sz w:val="14"/>
              </w:rPr>
            </w:pPr>
            <w:r>
              <w:rPr>
                <w:rFonts w:ascii="Microsoft Sans Serif" w:hAnsi="Microsoft Sans Serif"/>
                <w:sz w:val="14"/>
              </w:rPr>
              <w:t>Технології</w:t>
            </w:r>
            <w:r>
              <w:rPr>
                <w:rFonts w:ascii="Microsoft Sans Serif" w:hAnsi="Microsoft Sans Serif"/>
                <w:spacing w:val="4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мають</w:t>
            </w:r>
            <w:r>
              <w:rPr>
                <w:rFonts w:ascii="Microsoft Sans Serif" w:hAnsi="Microsoft Sans Serif"/>
                <w:spacing w:val="4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відповідати</w:t>
            </w:r>
            <w:r>
              <w:rPr>
                <w:rFonts w:ascii="Microsoft Sans Serif" w:hAnsi="Microsoft Sans Serif"/>
                <w:spacing w:val="-34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існуючим процесам, які вже</w:t>
            </w:r>
            <w:r>
              <w:rPr>
                <w:rFonts w:ascii="Microsoft Sans Serif" w:hAnsi="Microsoft Sans Serif"/>
                <w:spacing w:val="1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достатньо оптимізовані</w:t>
            </w:r>
            <w:r>
              <w:rPr>
                <w:rFonts w:ascii="Microsoft Sans Serif" w:hAnsi="Microsoft Sans Serif"/>
                <w:spacing w:val="1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й</w:t>
            </w:r>
            <w:r>
              <w:rPr>
                <w:rFonts w:ascii="Microsoft Sans Serif" w:hAnsi="Microsoft Sans Serif"/>
                <w:spacing w:val="1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відбивають</w:t>
            </w:r>
            <w:r>
              <w:rPr>
                <w:rFonts w:ascii="Microsoft Sans Serif" w:hAnsi="Microsoft Sans Serif"/>
                <w:spacing w:val="2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понесені</w:t>
            </w:r>
            <w:r>
              <w:rPr>
                <w:rFonts w:ascii="Microsoft Sans Serif" w:hAnsi="Microsoft Sans Serif"/>
                <w:spacing w:val="3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суттєві</w:t>
            </w:r>
            <w:r>
              <w:rPr>
                <w:rFonts w:ascii="Microsoft Sans Serif" w:hAnsi="Microsoft Sans Serif"/>
                <w:spacing w:val="1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витрати.</w:t>
            </w:r>
          </w:p>
          <w:p w:rsidR="00E014C4" w:rsidRDefault="00E014C4" w:rsidP="00E36811">
            <w:pPr>
              <w:pStyle w:val="TableParagraph"/>
              <w:spacing w:line="247" w:lineRule="auto"/>
              <w:ind w:left="63" w:right="82"/>
              <w:jc w:val="left"/>
              <w:rPr>
                <w:rFonts w:ascii="Microsoft Sans Serif" w:hAnsi="Microsoft Sans Serif"/>
                <w:sz w:val="14"/>
              </w:rPr>
            </w:pPr>
            <w:r>
              <w:rPr>
                <w:rFonts w:ascii="Microsoft Sans Serif" w:hAnsi="Microsoft Sans Serif"/>
                <w:sz w:val="14"/>
              </w:rPr>
              <w:t>Нові підходи мають</w:t>
            </w:r>
            <w:r>
              <w:rPr>
                <w:rFonts w:ascii="Microsoft Sans Serif" w:hAnsi="Microsoft Sans Serif"/>
                <w:spacing w:val="1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демонструвати</w:t>
            </w:r>
            <w:r>
              <w:rPr>
                <w:rFonts w:ascii="Microsoft Sans Serif" w:hAnsi="Microsoft Sans Serif"/>
                <w:spacing w:val="1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значне</w:t>
            </w:r>
            <w:r>
              <w:rPr>
                <w:rFonts w:ascii="Microsoft Sans Serif" w:hAnsi="Microsoft Sans Serif"/>
                <w:spacing w:val="1"/>
                <w:sz w:val="14"/>
              </w:rPr>
              <w:t xml:space="preserve"> </w:t>
            </w:r>
            <w:r>
              <w:rPr>
                <w:rFonts w:ascii="Microsoft Sans Serif" w:hAnsi="Microsoft Sans Serif"/>
                <w:spacing w:val="-1"/>
                <w:sz w:val="14"/>
              </w:rPr>
              <w:t>покращання</w:t>
            </w:r>
            <w:r>
              <w:rPr>
                <w:rFonts w:ascii="Microsoft Sans Serif" w:hAnsi="Microsoft Sans Serif"/>
                <w:spacing w:val="-7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показників</w:t>
            </w:r>
            <w:r>
              <w:rPr>
                <w:rFonts w:ascii="Microsoft Sans Serif" w:hAnsi="Microsoft Sans Serif"/>
                <w:spacing w:val="-7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порівняно</w:t>
            </w:r>
            <w:r>
              <w:rPr>
                <w:rFonts w:ascii="Microsoft Sans Serif" w:hAnsi="Microsoft Sans Serif"/>
                <w:spacing w:val="-35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з</w:t>
            </w:r>
            <w:r>
              <w:rPr>
                <w:rFonts w:ascii="Microsoft Sans Serif" w:hAnsi="Microsoft Sans Serif"/>
                <w:spacing w:val="1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існуючими</w:t>
            </w:r>
            <w:r>
              <w:rPr>
                <w:rFonts w:ascii="Microsoft Sans Serif" w:hAnsi="Microsoft Sans Serif"/>
                <w:spacing w:val="1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рішеннями</w:t>
            </w:r>
          </w:p>
        </w:tc>
        <w:tc>
          <w:tcPr>
            <w:tcW w:w="249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</w:tcBorders>
            <w:shd w:val="clear" w:color="auto" w:fill="E1E1E1"/>
          </w:tcPr>
          <w:p w:rsidR="00E014C4" w:rsidRDefault="00E014C4" w:rsidP="00E36811">
            <w:pPr>
              <w:pStyle w:val="TableParagraph"/>
              <w:spacing w:before="13" w:line="247" w:lineRule="auto"/>
              <w:ind w:left="63" w:right="70"/>
              <w:jc w:val="left"/>
              <w:rPr>
                <w:rFonts w:ascii="Microsoft Sans Serif" w:hAnsi="Microsoft Sans Serif"/>
                <w:sz w:val="14"/>
              </w:rPr>
            </w:pPr>
            <w:r>
              <w:rPr>
                <w:rFonts w:ascii="Microsoft Sans Serif" w:hAnsi="Microsoft Sans Serif"/>
                <w:sz w:val="14"/>
              </w:rPr>
              <w:t>Подальше зменшення</w:t>
            </w:r>
            <w:r>
              <w:rPr>
                <w:rFonts w:ascii="Microsoft Sans Serif" w:hAnsi="Microsoft Sans Serif"/>
                <w:spacing w:val="2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обсягів</w:t>
            </w:r>
            <w:r>
              <w:rPr>
                <w:rFonts w:ascii="Microsoft Sans Serif" w:hAnsi="Microsoft Sans Serif"/>
                <w:spacing w:val="1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виробничих</w:t>
            </w:r>
            <w:r>
              <w:rPr>
                <w:rFonts w:ascii="Microsoft Sans Serif" w:hAnsi="Microsoft Sans Serif"/>
                <w:spacing w:val="1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циклів і</w:t>
            </w:r>
            <w:r>
              <w:rPr>
                <w:rFonts w:ascii="Microsoft Sans Serif" w:hAnsi="Microsoft Sans Serif"/>
                <w:spacing w:val="1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виробництв як</w:t>
            </w:r>
            <w:r>
              <w:rPr>
                <w:rFonts w:ascii="Microsoft Sans Serif" w:hAnsi="Microsoft Sans Serif"/>
                <w:spacing w:val="1"/>
                <w:sz w:val="14"/>
              </w:rPr>
              <w:t xml:space="preserve"> </w:t>
            </w:r>
            <w:r>
              <w:rPr>
                <w:rFonts w:ascii="Microsoft Sans Serif" w:hAnsi="Microsoft Sans Serif"/>
                <w:spacing w:val="-1"/>
                <w:sz w:val="14"/>
              </w:rPr>
              <w:t>таких.</w:t>
            </w:r>
            <w:r>
              <w:rPr>
                <w:rFonts w:ascii="Microsoft Sans Serif" w:hAnsi="Microsoft Sans Serif"/>
                <w:spacing w:val="-7"/>
                <w:sz w:val="14"/>
              </w:rPr>
              <w:t xml:space="preserve"> </w:t>
            </w:r>
            <w:r>
              <w:rPr>
                <w:rFonts w:ascii="Microsoft Sans Serif" w:hAnsi="Microsoft Sans Serif"/>
                <w:spacing w:val="-1"/>
                <w:sz w:val="14"/>
              </w:rPr>
              <w:t>Декілька</w:t>
            </w:r>
            <w:r>
              <w:rPr>
                <w:rFonts w:ascii="Microsoft Sans Serif" w:hAnsi="Microsoft Sans Serif"/>
                <w:spacing w:val="-7"/>
                <w:sz w:val="14"/>
              </w:rPr>
              <w:t xml:space="preserve"> </w:t>
            </w:r>
            <w:r>
              <w:rPr>
                <w:rFonts w:ascii="Microsoft Sans Serif" w:hAnsi="Microsoft Sans Serif"/>
                <w:spacing w:val="-1"/>
                <w:sz w:val="14"/>
              </w:rPr>
              <w:t>венчурних</w:t>
            </w:r>
            <w:r>
              <w:rPr>
                <w:rFonts w:ascii="Microsoft Sans Serif" w:hAnsi="Microsoft Sans Serif"/>
                <w:spacing w:val="-6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компаній</w:t>
            </w:r>
            <w:r>
              <w:rPr>
                <w:rFonts w:ascii="Microsoft Sans Serif" w:hAnsi="Microsoft Sans Serif"/>
                <w:spacing w:val="-34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і</w:t>
            </w:r>
            <w:r>
              <w:rPr>
                <w:rFonts w:ascii="Microsoft Sans Serif" w:hAnsi="Microsoft Sans Serif"/>
                <w:spacing w:val="1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активний</w:t>
            </w:r>
            <w:r>
              <w:rPr>
                <w:rFonts w:ascii="Microsoft Sans Serif" w:hAnsi="Microsoft Sans Serif"/>
                <w:spacing w:val="1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продаж</w:t>
            </w:r>
            <w:r>
              <w:rPr>
                <w:rFonts w:ascii="Microsoft Sans Serif" w:hAnsi="Microsoft Sans Serif"/>
                <w:spacing w:val="1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на ринку</w:t>
            </w:r>
          </w:p>
        </w:tc>
      </w:tr>
      <w:tr w:rsidR="00E014C4" w:rsidTr="00E36811">
        <w:trPr>
          <w:trHeight w:val="732"/>
        </w:trPr>
        <w:tc>
          <w:tcPr>
            <w:tcW w:w="148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14C4" w:rsidRDefault="00E014C4" w:rsidP="00E36811">
            <w:pPr>
              <w:pStyle w:val="TableParagraph"/>
              <w:spacing w:before="24"/>
              <w:ind w:left="60"/>
              <w:jc w:val="left"/>
              <w:rPr>
                <w:rFonts w:ascii="Microsoft Sans Serif" w:hAnsi="Microsoft Sans Serif"/>
                <w:sz w:val="14"/>
              </w:rPr>
            </w:pPr>
            <w:r>
              <w:rPr>
                <w:rFonts w:ascii="Microsoft Sans Serif" w:hAnsi="Microsoft Sans Serif"/>
                <w:sz w:val="14"/>
              </w:rPr>
              <w:t>Енергетика</w:t>
            </w:r>
          </w:p>
        </w:tc>
        <w:tc>
          <w:tcPr>
            <w:tcW w:w="2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14C4" w:rsidRDefault="00E014C4" w:rsidP="00E36811">
            <w:pPr>
              <w:pStyle w:val="TableParagraph"/>
              <w:spacing w:before="23" w:line="247" w:lineRule="auto"/>
              <w:ind w:left="63" w:right="66"/>
              <w:jc w:val="left"/>
              <w:rPr>
                <w:rFonts w:ascii="Microsoft Sans Serif" w:hAnsi="Microsoft Sans Serif"/>
                <w:sz w:val="14"/>
              </w:rPr>
            </w:pPr>
            <w:r>
              <w:rPr>
                <w:rFonts w:ascii="Microsoft Sans Serif" w:hAnsi="Microsoft Sans Serif"/>
                <w:sz w:val="14"/>
              </w:rPr>
              <w:t>Значна конкуренція з боку</w:t>
            </w:r>
            <w:r>
              <w:rPr>
                <w:rFonts w:ascii="Microsoft Sans Serif" w:hAnsi="Microsoft Sans Serif"/>
                <w:spacing w:val="1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фотоелементів,</w:t>
            </w:r>
            <w:r>
              <w:rPr>
                <w:rFonts w:ascii="Microsoft Sans Serif" w:hAnsi="Microsoft Sans Serif"/>
                <w:spacing w:val="4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які</w:t>
            </w:r>
            <w:r>
              <w:rPr>
                <w:rFonts w:ascii="Microsoft Sans Serif" w:hAnsi="Microsoft Sans Serif"/>
                <w:spacing w:val="4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виробляються</w:t>
            </w:r>
            <w:r>
              <w:rPr>
                <w:rFonts w:ascii="Microsoft Sans Serif" w:hAnsi="Microsoft Sans Serif"/>
                <w:spacing w:val="-35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в</w:t>
            </w:r>
            <w:r>
              <w:rPr>
                <w:rFonts w:ascii="Microsoft Sans Serif" w:hAnsi="Microsoft Sans Serif"/>
                <w:spacing w:val="2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Азії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E014C4" w:rsidRDefault="00E014C4" w:rsidP="00E36811">
            <w:pPr>
              <w:pStyle w:val="TableParagraph"/>
              <w:spacing w:before="23" w:line="247" w:lineRule="auto"/>
              <w:ind w:left="63" w:right="593" w:hanging="1"/>
              <w:jc w:val="left"/>
              <w:rPr>
                <w:rFonts w:ascii="Microsoft Sans Serif" w:hAnsi="Microsoft Sans Serif"/>
                <w:sz w:val="14"/>
              </w:rPr>
            </w:pPr>
            <w:r>
              <w:rPr>
                <w:rFonts w:ascii="Microsoft Sans Serif" w:hAnsi="Microsoft Sans Serif"/>
                <w:sz w:val="14"/>
              </w:rPr>
              <w:t>Каталізатори у біопаливі та</w:t>
            </w:r>
            <w:r>
              <w:rPr>
                <w:rFonts w:ascii="Microsoft Sans Serif" w:hAnsi="Microsoft Sans Serif"/>
                <w:spacing w:val="-35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викопному паливі, а також</w:t>
            </w:r>
            <w:r>
              <w:rPr>
                <w:rFonts w:ascii="Microsoft Sans Serif" w:hAnsi="Microsoft Sans Serif"/>
                <w:spacing w:val="1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фотоелементи, зокрема, у</w:t>
            </w:r>
            <w:r>
              <w:rPr>
                <w:rFonts w:ascii="Microsoft Sans Serif" w:hAnsi="Microsoft Sans Serif"/>
                <w:spacing w:val="1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сонячних</w:t>
            </w:r>
            <w:r>
              <w:rPr>
                <w:rFonts w:ascii="Microsoft Sans Serif" w:hAnsi="Microsoft Sans Serif"/>
                <w:spacing w:val="1"/>
                <w:sz w:val="14"/>
              </w:rPr>
              <w:t xml:space="preserve"> </w:t>
            </w:r>
            <w:proofErr w:type="spellStart"/>
            <w:r>
              <w:rPr>
                <w:rFonts w:ascii="Microsoft Sans Serif" w:hAnsi="Microsoft Sans Serif"/>
                <w:sz w:val="14"/>
              </w:rPr>
              <w:t>батареях</w:t>
            </w:r>
            <w:proofErr w:type="spellEnd"/>
          </w:p>
        </w:tc>
      </w:tr>
      <w:tr w:rsidR="00E014C4" w:rsidTr="00E36811">
        <w:trPr>
          <w:trHeight w:val="935"/>
        </w:trPr>
        <w:tc>
          <w:tcPr>
            <w:tcW w:w="148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1E1"/>
          </w:tcPr>
          <w:p w:rsidR="00E014C4" w:rsidRDefault="00E014C4" w:rsidP="00E36811">
            <w:pPr>
              <w:pStyle w:val="TableParagraph"/>
              <w:spacing w:before="24"/>
              <w:ind w:left="60"/>
              <w:jc w:val="left"/>
              <w:rPr>
                <w:rFonts w:ascii="Microsoft Sans Serif" w:hAnsi="Microsoft Sans Serif"/>
                <w:sz w:val="14"/>
              </w:rPr>
            </w:pPr>
            <w:r>
              <w:rPr>
                <w:rFonts w:ascii="Microsoft Sans Serif" w:hAnsi="Microsoft Sans Serif"/>
                <w:sz w:val="14"/>
              </w:rPr>
              <w:t>Матеріали</w:t>
            </w:r>
          </w:p>
        </w:tc>
        <w:tc>
          <w:tcPr>
            <w:tcW w:w="2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1E1"/>
          </w:tcPr>
          <w:p w:rsidR="00E014C4" w:rsidRDefault="00E014C4" w:rsidP="00E36811">
            <w:pPr>
              <w:pStyle w:val="TableParagraph"/>
              <w:spacing w:before="23" w:line="247" w:lineRule="auto"/>
              <w:ind w:left="63" w:right="180"/>
              <w:jc w:val="left"/>
              <w:rPr>
                <w:rFonts w:ascii="Microsoft Sans Serif" w:hAnsi="Microsoft Sans Serif"/>
                <w:sz w:val="14"/>
              </w:rPr>
            </w:pPr>
            <w:r>
              <w:rPr>
                <w:rFonts w:ascii="Microsoft Sans Serif" w:hAnsi="Microsoft Sans Serif"/>
                <w:sz w:val="14"/>
              </w:rPr>
              <w:t>Повинні мати чітке призначення</w:t>
            </w:r>
            <w:r>
              <w:rPr>
                <w:rFonts w:ascii="Microsoft Sans Serif" w:hAnsi="Microsoft Sans Serif"/>
                <w:spacing w:val="-35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(наприклад, для акумуляторів).</w:t>
            </w:r>
            <w:r>
              <w:rPr>
                <w:rFonts w:ascii="Microsoft Sans Serif" w:hAnsi="Microsoft Sans Serif"/>
                <w:spacing w:val="1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Як правило, процесні інновації з</w:t>
            </w:r>
            <w:r>
              <w:rPr>
                <w:rFonts w:ascii="Microsoft Sans Serif" w:hAnsi="Microsoft Sans Serif"/>
                <w:spacing w:val="-35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великим ризиком сприйняття з</w:t>
            </w:r>
            <w:r>
              <w:rPr>
                <w:rFonts w:ascii="Microsoft Sans Serif" w:hAnsi="Microsoft Sans Serif"/>
                <w:spacing w:val="1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боку споживачів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1E1E1"/>
          </w:tcPr>
          <w:p w:rsidR="00E014C4" w:rsidRDefault="00E014C4" w:rsidP="00E36811">
            <w:pPr>
              <w:pStyle w:val="TableParagraph"/>
              <w:spacing w:before="23" w:line="247" w:lineRule="auto"/>
              <w:ind w:left="63" w:right="54"/>
              <w:jc w:val="left"/>
              <w:rPr>
                <w:rFonts w:ascii="Microsoft Sans Serif" w:hAnsi="Microsoft Sans Serif"/>
                <w:sz w:val="14"/>
              </w:rPr>
            </w:pPr>
            <w:r>
              <w:rPr>
                <w:rFonts w:ascii="Microsoft Sans Serif" w:hAnsi="Microsoft Sans Serif"/>
                <w:sz w:val="14"/>
              </w:rPr>
              <w:t>Великий потенціал різноманітних</w:t>
            </w:r>
            <w:r>
              <w:rPr>
                <w:rFonts w:ascii="Microsoft Sans Serif" w:hAnsi="Microsoft Sans Serif"/>
                <w:spacing w:val="1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сфер</w:t>
            </w:r>
            <w:r>
              <w:rPr>
                <w:rFonts w:ascii="Microsoft Sans Serif" w:hAnsi="Microsoft Sans Serif"/>
                <w:spacing w:val="-1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застосування</w:t>
            </w:r>
            <w:r>
              <w:rPr>
                <w:rFonts w:ascii="Microsoft Sans Serif" w:hAnsi="Microsoft Sans Serif"/>
                <w:spacing w:val="2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(від</w:t>
            </w:r>
            <w:r>
              <w:rPr>
                <w:rFonts w:ascii="Microsoft Sans Serif" w:hAnsi="Microsoft Sans Serif"/>
                <w:spacing w:val="1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автомобілів</w:t>
            </w:r>
            <w:r>
              <w:rPr>
                <w:rFonts w:ascii="Microsoft Sans Serif" w:hAnsi="Microsoft Sans Serif"/>
                <w:spacing w:val="-34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до електроніки)</w:t>
            </w:r>
          </w:p>
        </w:tc>
      </w:tr>
      <w:tr w:rsidR="00E014C4" w:rsidTr="00E36811">
        <w:trPr>
          <w:trHeight w:val="1057"/>
        </w:trPr>
        <w:tc>
          <w:tcPr>
            <w:tcW w:w="148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1E1"/>
          </w:tcPr>
          <w:p w:rsidR="00E014C4" w:rsidRDefault="00E014C4" w:rsidP="00E36811">
            <w:pPr>
              <w:pStyle w:val="TableParagraph"/>
              <w:spacing w:before="24" w:line="247" w:lineRule="auto"/>
              <w:ind w:left="60" w:right="72"/>
              <w:jc w:val="left"/>
              <w:rPr>
                <w:rFonts w:ascii="Microsoft Sans Serif" w:hAnsi="Microsoft Sans Serif"/>
                <w:sz w:val="14"/>
              </w:rPr>
            </w:pPr>
            <w:r>
              <w:rPr>
                <w:rFonts w:ascii="Microsoft Sans Serif" w:hAnsi="Microsoft Sans Serif"/>
                <w:sz w:val="14"/>
              </w:rPr>
              <w:t>Громадське</w:t>
            </w:r>
            <w:r>
              <w:rPr>
                <w:rFonts w:ascii="Microsoft Sans Serif" w:hAnsi="Microsoft Sans Serif"/>
                <w:spacing w:val="1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харчування</w:t>
            </w:r>
            <w:r>
              <w:rPr>
                <w:rFonts w:ascii="Microsoft Sans Serif" w:hAnsi="Microsoft Sans Serif"/>
                <w:spacing w:val="2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й</w:t>
            </w:r>
            <w:r>
              <w:rPr>
                <w:rFonts w:ascii="Microsoft Sans Serif" w:hAnsi="Microsoft Sans Serif"/>
                <w:spacing w:val="1"/>
                <w:sz w:val="14"/>
              </w:rPr>
              <w:t xml:space="preserve"> </w:t>
            </w:r>
            <w:r>
              <w:rPr>
                <w:rFonts w:ascii="Microsoft Sans Serif" w:hAnsi="Microsoft Sans Serif"/>
                <w:spacing w:val="-1"/>
                <w:sz w:val="14"/>
              </w:rPr>
              <w:t>пакування</w:t>
            </w:r>
            <w:r>
              <w:rPr>
                <w:rFonts w:ascii="Microsoft Sans Serif" w:hAnsi="Microsoft Sans Serif"/>
                <w:spacing w:val="-4"/>
                <w:sz w:val="14"/>
              </w:rPr>
              <w:t xml:space="preserve"> </w:t>
            </w:r>
            <w:r>
              <w:rPr>
                <w:rFonts w:ascii="Microsoft Sans Serif" w:hAnsi="Microsoft Sans Serif"/>
                <w:spacing w:val="-1"/>
                <w:sz w:val="14"/>
              </w:rPr>
              <w:t>продуктів</w:t>
            </w:r>
          </w:p>
        </w:tc>
        <w:tc>
          <w:tcPr>
            <w:tcW w:w="2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1E1"/>
          </w:tcPr>
          <w:p w:rsidR="00E014C4" w:rsidRDefault="00E014C4" w:rsidP="00E36811">
            <w:pPr>
              <w:pStyle w:val="TableParagraph"/>
              <w:spacing w:before="24" w:line="247" w:lineRule="auto"/>
              <w:ind w:left="63" w:right="60"/>
              <w:jc w:val="left"/>
              <w:rPr>
                <w:rFonts w:ascii="Microsoft Sans Serif" w:hAnsi="Microsoft Sans Serif"/>
                <w:sz w:val="14"/>
              </w:rPr>
            </w:pPr>
            <w:r>
              <w:rPr>
                <w:rFonts w:ascii="Microsoft Sans Serif" w:hAnsi="Microsoft Sans Serif"/>
                <w:sz w:val="14"/>
              </w:rPr>
              <w:t>Ризик сприйняття покупцями й</w:t>
            </w:r>
            <w:r>
              <w:rPr>
                <w:rFonts w:ascii="Microsoft Sans Serif" w:hAnsi="Microsoft Sans Serif"/>
                <w:spacing w:val="1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інвесторами</w:t>
            </w:r>
            <w:r>
              <w:rPr>
                <w:rFonts w:ascii="Microsoft Sans Serif" w:hAnsi="Microsoft Sans Serif"/>
                <w:spacing w:val="1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як генетично-</w:t>
            </w:r>
            <w:r>
              <w:rPr>
                <w:rFonts w:ascii="Microsoft Sans Serif" w:hAnsi="Microsoft Sans Serif"/>
                <w:spacing w:val="1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модифіковані підходи до процесів</w:t>
            </w:r>
            <w:r>
              <w:rPr>
                <w:rFonts w:ascii="Microsoft Sans Serif" w:hAnsi="Microsoft Sans Serif"/>
                <w:spacing w:val="-35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у</w:t>
            </w:r>
            <w:r>
              <w:rPr>
                <w:rFonts w:ascii="Microsoft Sans Serif" w:hAnsi="Microsoft Sans Serif"/>
                <w:spacing w:val="1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цьому</w:t>
            </w:r>
            <w:r>
              <w:rPr>
                <w:rFonts w:ascii="Microsoft Sans Serif" w:hAnsi="Microsoft Sans Serif"/>
                <w:spacing w:val="2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секторі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1E1E1"/>
          </w:tcPr>
          <w:p w:rsidR="00E014C4" w:rsidRDefault="00E014C4" w:rsidP="00E36811">
            <w:pPr>
              <w:pStyle w:val="TableParagraph"/>
              <w:spacing w:before="24" w:line="247" w:lineRule="auto"/>
              <w:ind w:left="63" w:right="109"/>
              <w:jc w:val="left"/>
              <w:rPr>
                <w:rFonts w:ascii="Microsoft Sans Serif" w:hAnsi="Microsoft Sans Serif"/>
                <w:sz w:val="14"/>
              </w:rPr>
            </w:pPr>
            <w:r>
              <w:rPr>
                <w:rFonts w:ascii="Microsoft Sans Serif" w:hAnsi="Microsoft Sans Serif"/>
                <w:sz w:val="14"/>
              </w:rPr>
              <w:t>Потенційними споживачами</w:t>
            </w:r>
            <w:r>
              <w:rPr>
                <w:rFonts w:ascii="Microsoft Sans Serif" w:hAnsi="Microsoft Sans Serif"/>
                <w:spacing w:val="1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виступають</w:t>
            </w:r>
            <w:r>
              <w:rPr>
                <w:rFonts w:ascii="Microsoft Sans Serif" w:hAnsi="Microsoft Sans Serif"/>
                <w:spacing w:val="2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мережі</w:t>
            </w:r>
            <w:r>
              <w:rPr>
                <w:rFonts w:ascii="Microsoft Sans Serif" w:hAnsi="Microsoft Sans Serif"/>
                <w:spacing w:val="2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гуртової</w:t>
            </w:r>
            <w:r>
              <w:rPr>
                <w:rFonts w:ascii="Microsoft Sans Serif" w:hAnsi="Microsoft Sans Serif"/>
                <w:spacing w:val="1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торгівлі.</w:t>
            </w:r>
            <w:r>
              <w:rPr>
                <w:rFonts w:ascii="Microsoft Sans Serif" w:hAnsi="Microsoft Sans Serif"/>
                <w:spacing w:val="1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Створює</w:t>
            </w:r>
            <w:r>
              <w:rPr>
                <w:rFonts w:ascii="Microsoft Sans Serif" w:hAnsi="Microsoft Sans Serif"/>
                <w:spacing w:val="2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додаткові</w:t>
            </w:r>
            <w:r>
              <w:rPr>
                <w:rFonts w:ascii="Microsoft Sans Serif" w:hAnsi="Microsoft Sans Serif"/>
                <w:spacing w:val="1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можливості для нанотехнологічних</w:t>
            </w:r>
            <w:r>
              <w:rPr>
                <w:rFonts w:ascii="Microsoft Sans Serif" w:hAnsi="Microsoft Sans Serif"/>
                <w:spacing w:val="-35"/>
                <w:sz w:val="14"/>
              </w:rPr>
              <w:t xml:space="preserve"> </w:t>
            </w:r>
            <w:r>
              <w:rPr>
                <w:rFonts w:ascii="Microsoft Sans Serif" w:hAnsi="Microsoft Sans Serif"/>
                <w:sz w:val="14"/>
              </w:rPr>
              <w:t>інновацій</w:t>
            </w:r>
          </w:p>
        </w:tc>
      </w:tr>
    </w:tbl>
    <w:p w:rsidR="00032B3F" w:rsidRDefault="00032B3F"/>
    <w:p/>
    <w:p>
      <w:pPr>
        <w:jc w:val="center"/>
      </w:pPr>
      <w:r>
        <w:rPr>
          <w:b/>
          <w:sz w:val="28"/>
        </w:rPr>
        <w:t>АНАЛІЗ ТА ОБГОВОРЕННЯ</w:t>
      </w:r>
    </w:p>
    <w:p>
      <w:pPr>
        <w:jc w:val="center"/>
      </w:pPr>
      <w:r>
        <w:rPr>
          <w:b/>
          <w:sz w:val="26"/>
        </w:rPr>
        <w:t>Оцінка ризиків інвестування в нанотехнології</w:t>
      </w:r>
    </w:p>
    <w:p/>
    <w:p>
      <w:r>
        <w:rPr>
          <w:b/>
          <w:sz w:val="24"/>
        </w:rPr>
        <w:t>Вступ</w:t>
      </w:r>
    </w:p>
    <w:p>
      <w:r>
        <w:t>Нанотехнології є однією з найперспективніших галузей сучасної науки та інноваційної діяльності, проте інвестування в цю сферу супроводжується значними ризиками. Як зазначено у матеріалах завдання, особливостями нанотехнологій, що породжують специфічні етичні та інвестиційні питання, є: невидимість (складність контролювання), швидкий розвиток (складність оперативного виявлення ризиків), можливість застосування в цілях безпеки та оборони (загроза правам людини), глобальне значення та проблема "нано-розділу" між розвиненими країнами та такими, що розвиваються. Проведемо аналіз ризиків та можливостей інвестування в нанотехнології за основними секторами, спираючись на дані таблиць завдання та лекційні матеріали курсу.</w:t>
      </w:r>
    </w:p>
    <w:p/>
    <w:p>
      <w:r>
        <w:rPr>
          <w:b/>
          <w:sz w:val="24"/>
        </w:rPr>
        <w:t>1. Секторальний аналіз ризиків та можливостей</w:t>
      </w:r>
    </w:p>
    <w:p/>
    <w:p>
      <w:r>
        <w:rPr>
          <w:b/>
        </w:rPr>
        <w:t>1.1. Транспортування та аерокосмічний сектор</w:t>
      </w:r>
    </w:p>
    <w:p>
      <w:r>
        <w:t>Цей сектор демонструє значний потенціал для застосування нанотехнологій, насамперед у сфері вдосконалення акумуляторів для електромобілів. Основним ризиком є суттєва конкуренція з боку виробників США та КНР на автомобільному ринку. Крім того, перехід зі сталі на наноносичені композитні матеріали вимагатиме екстенсивних змін у виробничому обладнанні, що потребує значних капітальних інвестицій. Проте позитивним прикладом є компанія Boeing, яка вже здійснила перехід на використання композитних матеріалів у моделі 787 Dreamliner, що підтверджує комерційну доцільність таких інвестицій. Державна підтримка електромобільної галузі та наявна технологічна база створюють сприятливі умови для інвесторів у цьому напрямку.</w:t>
      </w:r>
    </w:p>
    <w:p/>
    <w:p>
      <w:r>
        <w:rPr>
          <w:b/>
        </w:rPr>
        <w:t>1.2. Наномедицина</w:t>
      </w:r>
    </w:p>
    <w:p>
      <w:r>
        <w:t>Наномедицина є одним з найбільш перспективних, але водночас найбільш ризикованих секторів для інвестування. Основний ризик полягає у тривалому та витратному процесі регуляторного узгодження, що значно збільшує необхідний обсяг інвестицій та подовжує період окупності. Як зазначається у лекційних матеріалах курсу, ринок інновацій характеризується високим ступенем ринкової та технологічної невизначеності, що особливо актуально для медичних нанотехнологій. Водночас можливості є надзвичайно привабливими: вакцини без голки, рання діагностика раку та його покращене лікування, біоімплантати, проактивне лікування ран. Стратегія НДДКР шляхом злиттів і поглинань дозволяє великим фармацевтичним компаніям знижувати ризики, купуючи малі інноваційні фірми з перевіреними технологіями.</w:t>
      </w:r>
    </w:p>
    <w:p/>
    <w:p>
      <w:r>
        <w:rPr>
          <w:b/>
        </w:rPr>
        <w:t>1.3. Електроніка</w:t>
      </w:r>
    </w:p>
    <w:p>
      <w:r>
        <w:t>Сектор електроніки характеризується специфічними ризиками, пов'язаними з необхідністю відповідності нових нанотехнологій існуючим процесам, які вже достатньо оптимізовані та відображають значні понесені витрати. Нові підходи мають демонструвати суттєве покращення показників порівняно з існуючими рішеннями, щоб виправдати інвестиції у зміну технологічних процесів. Це відповідає концепції технологічної невизначеності, описаній у лекційних матеріалах. Можливості полягають у подальшому зменшенні обсягів виробничих циклів та виробництв. Наявність декількох венчурних компаній та активний продаж на ринку свідчать про зростаючий інтерес інвесторів до цього сектору.</w:t>
      </w:r>
    </w:p>
    <w:p/>
    <w:p>
      <w:r>
        <w:rPr>
          <w:b/>
        </w:rPr>
        <w:t>1.4. Енергетика</w:t>
      </w:r>
    </w:p>
    <w:p>
      <w:r>
        <w:t>Енергетичний сектор надає значні можливості для застосування нанотехнологій, зокрема у виробництві каталізаторів для біопалива та викопного палива, а також фотоелементів для сонячних батарей. Основним ризиком є значна конкуренція з боку азійських виробників фотоелементів, які мають суттєві цінові переваги завдяки масштабам виробництва та нижчій вартості робочої сили. Для успішного інвестування у цей сектор необхідна чітка диференціація продукції за якістю та ефективністю, а також державна підтримка відновлюваної енергетики.</w:t>
      </w:r>
    </w:p>
    <w:p/>
    <w:p>
      <w:r>
        <w:rPr>
          <w:b/>
        </w:rPr>
        <w:t>1.5. Матеріали</w:t>
      </w:r>
    </w:p>
    <w:p>
      <w:r>
        <w:t>Сектор наноматеріалів має великий потенціал різноманітних сфер застосування - від автомобілів до електроніки. Проте ризики пов'язані з необхідністю чіткого визначення призначення матеріалів та великим ризиком негативного сприйняття з боку споживачів. Як правило, йдеться про процесні інновації, комерціалізація яких вимагає значних зусиль з інформування та переконання кінцевих споживачів. Відповідно до лекційних матеріалів, при розробці інноваційних рішень необхідне ретельне вивчення потреб ринку перед виходом на нього з продукцією та співробітництво з потенційними споживачами.</w:t>
      </w:r>
    </w:p>
    <w:p/>
    <w:p>
      <w:r>
        <w:rPr>
          <w:b/>
        </w:rPr>
        <w:t>1.6. Громадське харчування та пакування продуктів</w:t>
      </w:r>
    </w:p>
    <w:p>
      <w:r>
        <w:t>Цей сектор має значний потенціал, оскільки потенційними споживачами виступають мережі гуртової торгівлі, що забезпечує масштабний ринок збуту. Проте основним ризиком є сприйняття нанотехнологій покупцями та інвесторами як аналогу генетично-модифікованих підходів, що може викликати суспільний спротив та регуляторні обмеження. Цей ризик є особливо значущим, враховуючи глобальне значення нанотехнологій та їх потенційний вплив на здоров'я споживачів.</w:t>
      </w:r>
    </w:p>
    <w:p/>
    <w:p>
      <w:r>
        <w:rPr>
          <w:b/>
          <w:sz w:val="24"/>
        </w:rPr>
        <w:t>2. Узагальнена оцінка ризиків інвестування в нанотехнології</w:t>
      </w:r>
    </w:p>
    <w:p>
      <w:r>
        <w:t>На підставі проведеного секторального аналізу можна виділити такі основні категорії ризиків інвестування в нанотехнології:</w:t>
      </w:r>
    </w:p>
    <w:p>
      <w:r>
        <w:t>Технологічні ризики. Нанотехнології перебувають на різних стадіях зрілості в різних секторах. У деяких галузях (електроніка) існуючі технології вже достатньо оптимізовані, що створює високий поріг входу для нових нанотехнологічних рішень. Швидкий розвиток галузі ускладнює прогнозування, які саме технології стануть комерційно успішними.</w:t>
      </w:r>
    </w:p>
    <w:p>
      <w:r>
        <w:t>Ринкові ризики. Конкуренція з боку виробників із США, КНР та країн Азії є суттєвою у більшості секторів. Ризик негативного сприйняття з боку споживачів (особливо у секторах харчування та матеріалів) може значно обмежити ринковий потенціал нанотехнологічних продуктів. Як зазначається у лекціях, ринкова невизначеність полягає у відсутності інформації щодо ступеня задоволення вимог ринку за допомогою нової наукомісткої продукції.</w:t>
      </w:r>
    </w:p>
    <w:p>
      <w:r>
        <w:t>Регуляторні ризики. Найбільш гострі у секторі наномедицини, де процес узгодження є тривалим та витратним. Проте регуляторна невизначеність присутня у всіх секторах, оскільки нормативна база для нанотехнологій ще формується у більшості країн.</w:t>
      </w:r>
    </w:p>
    <w:p>
      <w:r>
        <w:t>Етичні та соціальні ризики. Невидимість нанотехнологій ускладнює їх контролювання, можливість застосування в цілях безпеки та оборони створює загрозу правам людини, а проблема "нано-розділу" може поглибити нерівність між розвиненими країнами та такими, що розвиваються.</w:t>
      </w:r>
    </w:p>
    <w:p>
      <w:r>
        <w:t>Фінансові ризики. Значний обсяг початкових інвестицій, тривалий період окупності та висока невизначеність кінцевого результату роблять інвестиції в нанотехнології високоризиковими з фінансової точки зору. Це відповідає характеристикам інноваційного ринку, описаним у лекційних матеріалах: обмежена кількість покупців і продавців, малоеластичний попит та високий ступінь технологічної невизначеності.</w:t>
      </w:r>
    </w:p>
    <w:p/>
    <w:p>
      <w:r>
        <w:rPr>
          <w:b/>
          <w:sz w:val="24"/>
        </w:rPr>
        <w:t>3. Рекомендації щодо стратегії інвестування</w:t>
      </w:r>
    </w:p>
    <w:p>
      <w:r>
        <w:t>На основі проведеного аналізу можна сформулювати такі рекомендації для потенційних інвесторів у нанотехнології:</w:t>
      </w:r>
    </w:p>
    <w:p>
      <w:r>
        <w:t>1) Диверсифікація інвестиційного портфеля між різними секторами нанотехнологій для зниження загального рівня ризику. Найбільш перспективними для короткострокових інвестицій є сектори з наявним ринковим попитом (акумулятори для електромобілів, фотоелементи), а для довгострокових - наномедицина.</w:t>
      </w:r>
    </w:p>
    <w:p>
      <w:r>
        <w:t>2) Використання венчурного фінансування та стратегії злиттів і поглинань для зниження ризиків входу на ринок. Як зазначається у лекційних матеріалах, венчурне фінансування є одним з перспективних джерел фінансування інноваційної діяльності.</w:t>
      </w:r>
    </w:p>
    <w:p>
      <w:r>
        <w:t>3) Тісна співпраця з університетами та науково-дослідними інститутами через механізми технопарків та інкубаторів бізнесу для забезпечення доступу до передових наукових розробок та зниження витрат на НДОКР.</w:t>
      </w:r>
    </w:p>
    <w:p>
      <w:r>
        <w:t>4) Активний моніторинг регуляторного середовища та участь у формуванні нормативної бази для нанотехнологій, що дозволить зменшити регуляторну невизначеність.</w:t>
      </w:r>
    </w:p>
    <w:p>
      <w:r>
        <w:t>5) Врахування етичних аспектів та забезпечення прозорості діяльності для зниження ризиків негативного суспільного сприйняття нанотехнологічних продуктів.</w:t>
      </w:r>
    </w:p>
    <w:p/>
    <w:p>
      <w:r>
        <w:rPr>
          <w:b/>
          <w:sz w:val="24"/>
        </w:rPr>
        <w:t>Висновок</w:t>
      </w:r>
    </w:p>
    <w:p>
      <w:r>
        <w:t>Інвестування в нанотехнології є високоризиковою, але потенційно високоприбутковою діяльністю. Аналіз шести секторів (транспортування, наномедицина, електроніка, енергетика, матеріали та громадське харчування) засвідчує, що кожен з них має специфічний профіль ризиків та можливостей. Спільними для всіх секторів є технологічна та ринкова невизначеність, конкурентний тиск та регуляторні виклики. Водночас нанотехнології відкривають революційні можливості у медицині, енергетиці, транспорті та інших галузях. Успішне інвестування потребує збалансованого підходу, що поєднує диверсифікацію портфеля, співпрацю з науковими установами, використання механізмів венчурного фінансування та активне управління ризиками. Особливу увагу слід приділяти етичним аспектам розвитку нанотехнологій, зокрема питанням безпеки, контролю та подолання "нано-розділу" між розвиненими країнами та країнами, що розвиваються.</w:t>
      </w:r>
    </w:p>
    <w:sectPr w:rsidR="00032B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 PSMT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E040D3"/>
    <w:multiLevelType w:val="hybridMultilevel"/>
    <w:tmpl w:val="311ED5AE"/>
    <w:lvl w:ilvl="0" w:tplc="EB024CF8">
      <w:numFmt w:val="bullet"/>
      <w:lvlText w:val="•"/>
      <w:lvlJc w:val="left"/>
      <w:pPr>
        <w:ind w:left="685" w:hanging="398"/>
      </w:pPr>
      <w:rPr>
        <w:rFonts w:hint="default"/>
        <w:shadow/>
        <w:w w:val="105"/>
        <w:lang w:val="uk-UA" w:eastAsia="en-US" w:bidi="ar-SA"/>
      </w:rPr>
    </w:lvl>
    <w:lvl w:ilvl="1" w:tplc="34A2B106">
      <w:numFmt w:val="bullet"/>
      <w:lvlText w:val="•"/>
      <w:lvlJc w:val="left"/>
      <w:pPr>
        <w:ind w:left="832" w:hanging="240"/>
      </w:pPr>
      <w:rPr>
        <w:rFonts w:hint="default"/>
        <w:w w:val="99"/>
        <w:lang w:val="uk-UA" w:eastAsia="en-US" w:bidi="ar-SA"/>
      </w:rPr>
    </w:lvl>
    <w:lvl w:ilvl="2" w:tplc="A0A08B0E">
      <w:numFmt w:val="bullet"/>
      <w:lvlText w:val="•"/>
      <w:lvlJc w:val="left"/>
      <w:pPr>
        <w:ind w:left="700" w:hanging="240"/>
      </w:pPr>
      <w:rPr>
        <w:rFonts w:hint="default"/>
        <w:lang w:val="uk-UA" w:eastAsia="en-US" w:bidi="ar-SA"/>
      </w:rPr>
    </w:lvl>
    <w:lvl w:ilvl="3" w:tplc="FB56CCDC">
      <w:numFmt w:val="bullet"/>
      <w:lvlText w:val="•"/>
      <w:lvlJc w:val="left"/>
      <w:pPr>
        <w:ind w:left="840" w:hanging="240"/>
      </w:pPr>
      <w:rPr>
        <w:rFonts w:hint="default"/>
        <w:lang w:val="uk-UA" w:eastAsia="en-US" w:bidi="ar-SA"/>
      </w:rPr>
    </w:lvl>
    <w:lvl w:ilvl="4" w:tplc="9EC8E168">
      <w:numFmt w:val="bullet"/>
      <w:lvlText w:val="•"/>
      <w:lvlJc w:val="left"/>
      <w:pPr>
        <w:ind w:left="1600" w:hanging="240"/>
      </w:pPr>
      <w:rPr>
        <w:rFonts w:hint="default"/>
        <w:lang w:val="uk-UA" w:eastAsia="en-US" w:bidi="ar-SA"/>
      </w:rPr>
    </w:lvl>
    <w:lvl w:ilvl="5" w:tplc="DA9C21B6">
      <w:numFmt w:val="bullet"/>
      <w:lvlText w:val="•"/>
      <w:lvlJc w:val="left"/>
      <w:pPr>
        <w:ind w:left="2093" w:hanging="240"/>
      </w:pPr>
      <w:rPr>
        <w:rFonts w:hint="default"/>
        <w:lang w:val="uk-UA" w:eastAsia="en-US" w:bidi="ar-SA"/>
      </w:rPr>
    </w:lvl>
    <w:lvl w:ilvl="6" w:tplc="8A8232B8">
      <w:numFmt w:val="bullet"/>
      <w:lvlText w:val="•"/>
      <w:lvlJc w:val="left"/>
      <w:pPr>
        <w:ind w:left="2586" w:hanging="240"/>
      </w:pPr>
      <w:rPr>
        <w:rFonts w:hint="default"/>
        <w:lang w:val="uk-UA" w:eastAsia="en-US" w:bidi="ar-SA"/>
      </w:rPr>
    </w:lvl>
    <w:lvl w:ilvl="7" w:tplc="46827BC8">
      <w:numFmt w:val="bullet"/>
      <w:lvlText w:val="•"/>
      <w:lvlJc w:val="left"/>
      <w:pPr>
        <w:ind w:left="3079" w:hanging="240"/>
      </w:pPr>
      <w:rPr>
        <w:rFonts w:hint="default"/>
        <w:lang w:val="uk-UA" w:eastAsia="en-US" w:bidi="ar-SA"/>
      </w:rPr>
    </w:lvl>
    <w:lvl w:ilvl="8" w:tplc="4080D1B4">
      <w:numFmt w:val="bullet"/>
      <w:lvlText w:val="•"/>
      <w:lvlJc w:val="left"/>
      <w:pPr>
        <w:ind w:left="3573" w:hanging="240"/>
      </w:pPr>
      <w:rPr>
        <w:rFonts w:hint="default"/>
        <w:lang w:val="uk-UA" w:eastAsia="en-US" w:bidi="ar-SA"/>
      </w:rPr>
    </w:lvl>
  </w:abstractNum>
  <w:num w:numId="1" w16cid:durableId="1124884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4C4"/>
    <w:rsid w:val="00032B3F"/>
    <w:rsid w:val="00E01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0A7F7B0-76CA-4C69-B580-581C492E8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14C4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kern w:val="0"/>
      <w:lang w:val="uk-UA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E014C4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E014C4"/>
    <w:rPr>
      <w:sz w:val="17"/>
      <w:szCs w:val="17"/>
    </w:rPr>
  </w:style>
  <w:style w:type="character" w:customStyle="1" w:styleId="a4">
    <w:name w:val="Основной текст Знак"/>
    <w:basedOn w:val="a0"/>
    <w:link w:val="a3"/>
    <w:uiPriority w:val="1"/>
    <w:rsid w:val="00E014C4"/>
    <w:rPr>
      <w:rFonts w:ascii="Microsoft Sans Serif" w:eastAsia="Microsoft Sans Serif" w:hAnsi="Microsoft Sans Serif" w:cs="Microsoft Sans Serif"/>
      <w:kern w:val="0"/>
      <w:sz w:val="17"/>
      <w:szCs w:val="17"/>
      <w:lang w:val="uk-UA"/>
      <w14:ligatures w14:val="none"/>
    </w:rPr>
  </w:style>
  <w:style w:type="paragraph" w:styleId="a5">
    <w:name w:val="List Paragraph"/>
    <w:basedOn w:val="a"/>
    <w:uiPriority w:val="1"/>
    <w:qFormat/>
    <w:rsid w:val="00E014C4"/>
    <w:pPr>
      <w:ind w:left="147" w:firstLine="301"/>
    </w:pPr>
  </w:style>
  <w:style w:type="paragraph" w:customStyle="1" w:styleId="TableParagraph">
    <w:name w:val="Table Paragraph"/>
    <w:basedOn w:val="a"/>
    <w:uiPriority w:val="1"/>
    <w:qFormat/>
    <w:rsid w:val="00E014C4"/>
    <w:pPr>
      <w:jc w:val="center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431</Words>
  <Characters>2463</Characters>
  <Application>Microsoft Office Word</Application>
  <DocSecurity>0</DocSecurity>
  <Lines>20</Lines>
  <Paragraphs>5</Paragraphs>
  <ScaleCrop>false</ScaleCrop>
  <Company/>
  <LinksUpToDate>false</LinksUpToDate>
  <CharactersWithSpaces>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legion noutbuk</dc:creator>
  <cp:keywords/>
  <dc:description/>
  <cp:lastModifiedBy>legion noutbuk</cp:lastModifiedBy>
  <cp:revision>1</cp:revision>
  <dcterms:created xsi:type="dcterms:W3CDTF">2023-04-20T04:55:00Z</dcterms:created>
  <dcterms:modified xsi:type="dcterms:W3CDTF">2023-04-20T04:55:00Z</dcterms:modified>
</cp:coreProperties>
</file>