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senvolvimento-do-sistema"/>
    <w:p>
      <w:pPr>
        <w:pStyle w:val="Heading1"/>
      </w:pPr>
      <w:r>
        <w:t xml:space="preserve">4 DESENVOLVIMENTO DO SISTEMA</w:t>
      </w:r>
    </w:p>
    <w:p>
      <w:pPr>
        <w:pStyle w:val="FirstParagraph"/>
      </w:pPr>
      <w:r>
        <w:t xml:space="preserve">Este capítulo descreve o artefato construído — a concretização da atividade de</w:t>
      </w:r>
      <w:r>
        <w:t xml:space="preserve"> </w:t>
      </w:r>
      <w:r>
        <w:t xml:space="preserve">“projeto e desenvolvimento”</w:t>
      </w:r>
      <w:r>
        <w:t xml:space="preserve"> </w:t>
      </w:r>
      <w:r>
        <w:t xml:space="preserve">da DSR (Seção 3.2). Apresenta-se a arquitetura geral (Seção 4.1), a modelagem dos dados (Seção 4.2), a camada de integração com o banco (Seção 4.3), a implementação do algoritmo de regras de associação (Seção 4.4) e da geração de recomendações Top-N (Seção 4.5), a API REST (Seção 4.6), o cache (Seção 4.7), a interface web (Seção 4.8) e, por fim, as principais decisões de projeto e seus</w:t>
      </w:r>
      <w:r>
        <w:t xml:space="preserve"> </w:t>
      </w:r>
      <w:r>
        <w:rPr>
          <w:i/>
          <w:iCs/>
        </w:rPr>
        <w:t xml:space="preserve">trade-offs</w:t>
      </w:r>
      <w:r>
        <w:t xml:space="preserve"> </w:t>
      </w:r>
      <w:r>
        <w:t xml:space="preserve">(Seção 4.9).</w:t>
      </w:r>
    </w:p>
    <w:bookmarkStart w:id="12" w:name="arquitetura-geral"/>
    <w:p>
      <w:pPr>
        <w:pStyle w:val="Heading2"/>
      </w:pPr>
      <w:r>
        <w:t xml:space="preserve">4.1 Arquitetura geral</w:t>
      </w:r>
    </w:p>
    <w:p>
      <w:pPr>
        <w:pStyle w:val="FirstParagraph"/>
      </w:pPr>
      <w:r>
        <w:t xml:space="preserve">O sistema adota uma arquitetura em camadas, com separação clara de responsabilidades entre cliente, servidor e persistência. O fluxo de uma requisição percorre os seguintes estágios:</w:t>
      </w:r>
    </w:p>
    <w:p>
      <w:pPr>
        <w:pStyle w:val="BlockText"/>
      </w:pPr>
      <w:r>
        <w:rPr>
          <w:b/>
          <w:bCs/>
        </w:rPr>
        <w:t xml:space="preserve">Cliente (React)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 REST (Express)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Serviços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Camada de dados (Models)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Banco (Supabase/PostgreSQL)</w:t>
      </w:r>
    </w:p>
    <w:p>
      <w:pPr>
        <w:pStyle w:val="FirstParagraph"/>
      </w:pPr>
      <w:r>
        <w:t xml:space="preserve">A interface web (</w:t>
      </w:r>
      <w:r>
        <w:rPr>
          <w:i/>
          <w:iCs/>
        </w:rPr>
        <w:t xml:space="preserve">front-end</w:t>
      </w:r>
      <w:r>
        <w:t xml:space="preserve">), construída em React, consome uma API REST exposta por um servidor Node.js/Express (</w:t>
      </w:r>
      <w:r>
        <w:rPr>
          <w:i/>
          <w:iCs/>
        </w:rPr>
        <w:t xml:space="preserve">back-end</w:t>
      </w:r>
      <w:r>
        <w:t xml:space="preserve">). O servidor organiza-se internamente em três camadas: as</w:t>
      </w:r>
      <w:r>
        <w:t xml:space="preserve"> </w:t>
      </w:r>
      <w:r>
        <w:rPr>
          <w:b/>
          <w:bCs/>
        </w:rPr>
        <w:t xml:space="preserve">rotas</w:t>
      </w:r>
      <w:r>
        <w:t xml:space="preserve">, que recebem as requisições HTTP e validam parâmetros; os</w:t>
      </w:r>
      <w:r>
        <w:t xml:space="preserve"> </w:t>
      </w:r>
      <w:r>
        <w:rPr>
          <w:b/>
          <w:bCs/>
        </w:rPr>
        <w:t xml:space="preserve">serviços</w:t>
      </w:r>
      <w:r>
        <w:t xml:space="preserve">, que concentram a lógica de negócio (o algoritmo de recomendação, a validação e o cache); e os</w:t>
      </w:r>
      <w:r>
        <w:t xml:space="preserve"> </w:t>
      </w:r>
      <w:r>
        <w:rPr>
          <w:b/>
          <w:bCs/>
        </w:rPr>
        <w:t xml:space="preserve">modelos</w:t>
      </w:r>
      <w:r>
        <w:t xml:space="preserve"> </w:t>
      </w:r>
      <w:r>
        <w:t xml:space="preserve">(</w:t>
      </w:r>
      <w:r>
        <w:rPr>
          <w:i/>
          <w:iCs/>
        </w:rPr>
        <w:t xml:space="preserve">models</w:t>
      </w:r>
      <w:r>
        <w:t xml:space="preserve">), que isolam todo o acesso ao banco de dados. Essa estratificação garante que uma alteração no banco — ou mesmo a troca da plataforma de persistência — afete apenas a camada de modelos, sem repercutir nas rotas ou na interface.</w:t>
      </w:r>
    </w:p>
    <w:p>
      <w:pPr>
        <w:pStyle w:val="BodyText"/>
      </w:pPr>
      <w:r>
        <w:rPr>
          <w:b/>
          <w:bCs/>
        </w:rPr>
        <w:t xml:space="preserve">Figura 1 — Arquitetura em camadas do sistema</w:t>
      </w:r>
    </w:p>
    <w:p>
      <w:pPr>
        <w:pStyle w:val="BodyText"/>
      </w:pPr>
      <w:r>
        <w:drawing>
          <wp:inline>
            <wp:extent cx="5334000" cy="39303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as/figura1-arquitetur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Fonte: elaborado pelo autor (2026).</w:t>
      </w:r>
    </w:p>
    <w:bookmarkEnd w:id="12"/>
    <w:bookmarkStart w:id="16" w:name="modelagem-de-dados"/>
    <w:p>
      <w:pPr>
        <w:pStyle w:val="Heading2"/>
      </w:pPr>
      <w:r>
        <w:t xml:space="preserve">4.2 Modelagem de dados</w:t>
      </w:r>
    </w:p>
    <w:p>
      <w:pPr>
        <w:pStyle w:val="FirstParagraph"/>
      </w:pPr>
      <w:r>
        <w:t xml:space="preserve">O modelo de dados relacional representa o domínio da distribuidora em quatro tabelas, prefixadas por</w:t>
      </w:r>
      <w:r>
        <w:t xml:space="preserve"> </w:t>
      </w:r>
      <w:r>
        <w:rPr>
          <w:rStyle w:val="VerbatimChar"/>
        </w:rPr>
        <w:t xml:space="preserve">qb_</w:t>
      </w:r>
      <w:r>
        <w:t xml:space="preserve"> </w:t>
      </w:r>
      <w:r>
        <w:t xml:space="preserve">para isolá-las de outros objetos que compartilham o mesmo projeto Supabase. O Quadro 3 descreve cada entidade.</w:t>
      </w:r>
    </w:p>
    <w:p>
      <w:pPr>
        <w:pStyle w:val="BodyText"/>
      </w:pPr>
      <w:r>
        <w:rPr>
          <w:b/>
          <w:bCs/>
        </w:rPr>
        <w:t xml:space="preserve">Quadro 3 — Tabelas do modelo de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Principais campos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qb_clientes</w:t>
            </w:r>
          </w:p>
        </w:tc>
        <w:tc>
          <w:tcPr/>
          <w:p>
            <w:pPr>
              <w:pStyle w:val="Compact"/>
            </w:pPr>
            <w:r>
              <w:t xml:space="preserve">Barbearias e compradores atendidos pela distribuidora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nome_loja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qb_produtos</w:t>
            </w:r>
          </w:p>
        </w:tc>
        <w:tc>
          <w:tcPr/>
          <w:p>
            <w:pPr>
              <w:pStyle w:val="Compact"/>
            </w:pPr>
            <w:r>
              <w:t xml:space="preserve">Catálogo de produtos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qb_vendas</w:t>
            </w:r>
          </w:p>
        </w:tc>
        <w:tc>
          <w:tcPr/>
          <w:p>
            <w:pPr>
              <w:pStyle w:val="Compact"/>
            </w:pPr>
            <w:r>
              <w:t xml:space="preserve">Cabeçalho de cada venda (transação)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metodo_pagamento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qb_itens_venda</w:t>
            </w:r>
          </w:p>
        </w:tc>
        <w:tc>
          <w:tcPr/>
          <w:p>
            <w:pPr>
              <w:pStyle w:val="Compact"/>
            </w:pPr>
            <w:r>
              <w:t xml:space="preserve">Itens que compõem cada venda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produto_id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valor_unitario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p>
      <w:pPr>
        <w:pStyle w:val="BodyText"/>
      </w:pPr>
      <w:r>
        <w:t xml:space="preserve">O relacionamento central liga</w:t>
      </w:r>
      <w:r>
        <w:t xml:space="preserve"> </w:t>
      </w:r>
      <w:r>
        <w:rPr>
          <w:rStyle w:val="VerbatimChar"/>
        </w:rPr>
        <w:t xml:space="preserve">qb_vendas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qb_itens_venda</w:t>
      </w:r>
      <w:r>
        <w:t xml:space="preserve"> </w:t>
      </w:r>
      <w:r>
        <w:t xml:space="preserve">(um-para-muitos: uma venda contém vários itens) e</w:t>
      </w:r>
      <w:r>
        <w:t xml:space="preserve"> </w:t>
      </w:r>
      <w:r>
        <w:rPr>
          <w:rStyle w:val="VerbatimChar"/>
        </w:rPr>
        <w:t xml:space="preserve">qb_itens_venda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qb_produtos</w:t>
      </w:r>
      <w:r>
        <w:t xml:space="preserve"> </w:t>
      </w:r>
      <w:r>
        <w:t xml:space="preserve">(muitos-para-um: cada item referencia um produto). É justamente o par (</w:t>
      </w:r>
      <w:r>
        <w:rPr>
          <w:rStyle w:val="VerbatimChar"/>
        </w:rPr>
        <w:t xml:space="preserve">venda_id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produto_id</w:t>
      </w:r>
      <w:r>
        <w:t xml:space="preserve">) que materializa a noção de</w:t>
      </w:r>
      <w:r>
        <w:t xml:space="preserve"> </w:t>
      </w:r>
      <w:r>
        <w:t xml:space="preserve">“produto presente em uma cesta”</w:t>
      </w:r>
      <w:r>
        <w:t xml:space="preserve">, insumo direto da</w:t>
      </w:r>
      <w:r>
        <w:t xml:space="preserve"> </w:t>
      </w:r>
      <w:r>
        <w:rPr>
          <w:i/>
          <w:iCs/>
        </w:rPr>
        <w:t xml:space="preserve">Market Basket Analysis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Figura 2 — Diagrama entidade-relacionamento (ER) das tabelas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qb_*</w:t>
      </w:r>
    </w:p>
    <w:p>
      <w:pPr>
        <w:pStyle w:val="BodyText"/>
      </w:pPr>
      <w:r>
        <w:drawing>
          <wp:inline>
            <wp:extent cx="5334000" cy="235688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as/figura2-modelo-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Fonte: elaborado pelo autor (2026).</w:t>
      </w:r>
    </w:p>
    <w:p>
      <w:pPr>
        <w:pStyle w:val="BodyText"/>
      </w:pPr>
      <w:r>
        <w:t xml:space="preserve">A carga dos dados pré-processados (Seção 3.4) no banco é realizada por um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dedicado,</w:t>
      </w:r>
      <w:r>
        <w:t xml:space="preserve"> </w:t>
      </w:r>
      <w:r>
        <w:rPr>
          <w:rStyle w:val="VerbatimChar"/>
        </w:rPr>
        <w:t xml:space="preserve">seed-csv.js</w:t>
      </w:r>
      <w:r>
        <w:t xml:space="preserve">, que executa as etapas de limpeza, agrupa os itens por pedido, infere as categorias, insere clientes e produtos de forma idempotente (evitando duplicatas) e, por fim, grava vendas e itens. O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oferece ainda a opção de reinicialização completa das tabelas, empregada ao substituir o conjunto de dados por uma exportação atualizada.</w:t>
      </w:r>
    </w:p>
    <w:bookmarkEnd w:id="16"/>
    <w:bookmarkStart w:id="17" w:name="X882481e5095437cb6064edb31741c7a400b2b56"/>
    <w:p>
      <w:pPr>
        <w:pStyle w:val="Heading2"/>
      </w:pPr>
      <w:r>
        <w:t xml:space="preserve">4.3 Camada de dados e integração com o Supabase</w:t>
      </w:r>
    </w:p>
    <w:p>
      <w:pPr>
        <w:pStyle w:val="FirstParagraph"/>
      </w:pPr>
      <w:r>
        <w:t xml:space="preserve">O acesso ao banco é feito por meio do cliente JavaScript do Supabase, que opera sobre o</w:t>
      </w:r>
      <w:r>
        <w:t xml:space="preserve"> </w:t>
      </w:r>
      <w:r>
        <w:rPr>
          <w:b/>
          <w:bCs/>
        </w:rPr>
        <w:t xml:space="preserve">PostgREST</w:t>
      </w:r>
      <w:r>
        <w:t xml:space="preserve"> </w:t>
      </w:r>
      <w:r>
        <w:t xml:space="preserve">— uma camada que expõe o PostgreSQL como API REST. Optou-se por essa via, em vez de uma conexão SQL direta, porque a camada gratuita do Supabase disponibiliza o acesso REST com uma chave pública (</w:t>
      </w:r>
      <w:r>
        <w:rPr>
          <w:i/>
          <w:iCs/>
        </w:rPr>
        <w:t xml:space="preserve">anon key</w:t>
      </w:r>
      <w:r>
        <w:t xml:space="preserve">), suficiente para as operações de leitura requeridas pelo algoritmo, dispensando a gestão de credenciais de conexão e</w:t>
      </w:r>
      <w:r>
        <w:t xml:space="preserve"> </w:t>
      </w:r>
      <w:r>
        <w:rPr>
          <w:i/>
          <w:iCs/>
        </w:rPr>
        <w:t xml:space="preserve">pool</w:t>
      </w:r>
      <w:r>
        <w:t xml:space="preserve">.</w:t>
      </w:r>
    </w:p>
    <w:p>
      <w:pPr>
        <w:pStyle w:val="BodyText"/>
      </w:pPr>
      <w:r>
        <w:t xml:space="preserve">A consulta mais importante da camada de modelos é a que recupera todas as transações no formato esperado pelo algoritmo. O PostgREST realiza o</w:t>
      </w:r>
      <w:r>
        <w:t xml:space="preserve"> </w:t>
      </w:r>
      <w:r>
        <w:rPr>
          <w:i/>
          <w:iCs/>
        </w:rPr>
        <w:t xml:space="preserve">join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qb_itens_venda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qb_produtos</w:t>
      </w:r>
      <w:r>
        <w:t xml:space="preserve"> </w:t>
      </w:r>
      <w:r>
        <w:t xml:space="preserve">por meio da chave estrangeira, retornando uma linha por item; o agrupamento por venda é então efetuado em memória, reconstruindo cada transação como um objeto com seu vetor de itens, conforme ilustra o Código-fonte 1.</w:t>
      </w:r>
    </w:p>
    <w:p>
      <w:pPr>
        <w:pStyle w:val="BodyText"/>
      </w:pPr>
      <w:r>
        <w:rPr>
          <w:b/>
          <w:bCs/>
        </w:rPr>
        <w:t xml:space="preserve">Código-fonte 1 — Recuperação e agrupamento das transações (</w:t>
      </w:r>
      <w:r>
        <w:rPr>
          <w:rStyle w:val="VerbatimChar"/>
          <w:b/>
          <w:bCs/>
        </w:rPr>
        <w:t xml:space="preserve">models/index.js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buscarVendas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'qb_itens_venda'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`venda_id, quantidade, valor_unitario,</w:t>
      </w:r>
      <w:r>
        <w:br/>
      </w:r>
      <w:r>
        <w:rPr>
          <w:rStyle w:val="VerbatimStringTok"/>
        </w:rPr>
        <w:t xml:space="preserve">             qb_produtos (id, nome, categoria)`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vendasMap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vendasMap[item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venda_id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vendasMap[item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venda_id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venda_id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vendasMap[item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venda_id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nome_produto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qb_produtos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produto_id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qb_produtos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qb_produtos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(vendasMap)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Fonte: elaborado pelo autor (2026).</w:t>
      </w:r>
    </w:p>
    <w:p>
      <w:pPr>
        <w:pStyle w:val="BodyText"/>
      </w:pPr>
      <w:r>
        <w:t xml:space="preserve">No que tange à segurança, as tabelas operam com</w:t>
      </w:r>
      <w:r>
        <w:t xml:space="preserve"> </w:t>
      </w:r>
      <w:r>
        <w:rPr>
          <w:i/>
          <w:iCs/>
        </w:rPr>
        <w:t xml:space="preserve">Row Level Security</w:t>
      </w:r>
      <w:r>
        <w:t xml:space="preserve"> </w:t>
      </w:r>
      <w:r>
        <w:t xml:space="preserve">(RLS) habilitado: a chave pública concede apenas leitura, enquanto as operações de escrita (a carga de dados) exigem uma chave de serviço privada, restrita ao ambiente do servidor e nunca exposta ao cliente.</w:t>
      </w:r>
    </w:p>
    <w:bookmarkEnd w:id="17"/>
    <w:bookmarkStart w:id="18" w:name="algoritmo-de-regras-de-associação"/>
    <w:p>
      <w:pPr>
        <w:pStyle w:val="Heading2"/>
      </w:pPr>
      <w:r>
        <w:t xml:space="preserve">4.4 Algoritmo de regras de associação</w:t>
      </w:r>
    </w:p>
    <w:p>
      <w:pPr>
        <w:pStyle w:val="FirstParagraph"/>
      </w:pPr>
      <w:r>
        <w:t xml:space="preserve">O núcleo do sistema é a função</w:t>
      </w:r>
      <w:r>
        <w:t xml:space="preserve"> </w:t>
      </w:r>
      <w:r>
        <w:rPr>
          <w:rStyle w:val="VerbatimChar"/>
        </w:rPr>
        <w:t xml:space="preserve">calculateAssociation</w:t>
      </w:r>
      <w:r>
        <w:t xml:space="preserve">, que implementa uma versão simplificada da extração de regras de associação, restrita a regras de</w:t>
      </w:r>
      <w:r>
        <w:t xml:space="preserve"> </w:t>
      </w:r>
      <w:r>
        <w:rPr>
          <w:b/>
          <w:bCs/>
        </w:rPr>
        <w:t xml:space="preserve">um item no antecedente e um no consequente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). Essa simplificação é deliberada e justifica-se pelo porte do conjunto de dados: com dezenas de transações, regras multi-item teriam suporte demasiado baixo para serem confiáveis, e o custo computacional da geração par-a-par é plenamente absorvível (discussão na Seção 4.9).</w:t>
      </w:r>
    </w:p>
    <w:p>
      <w:pPr>
        <w:pStyle w:val="BodyText"/>
      </w:pPr>
      <w:r>
        <w:t xml:space="preserve">Para cada par ordenado de produtos distintos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o algoritmo conta as transações que contêm</w:t>
      </w:r>
      <w:r>
        <w:t xml:space="preserve"> </w:t>
      </w:r>
      <m:oMath>
        <m:r>
          <m:t>A</m:t>
        </m:r>
      </m:oMath>
      <w:r>
        <w:t xml:space="preserve">, as que contêm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simultaneamente e as que contêm</w:t>
      </w:r>
      <w:r>
        <w:t xml:space="preserve"> </w:t>
      </w:r>
      <m:oMath>
        <m:r>
          <m:t>B</m:t>
        </m:r>
      </m:oMath>
      <w:r>
        <w:t xml:space="preserve">, e a partir dessas contagens calcula as três métricas definidas na Seção 2.2.3 — suporte, confiança e</w:t>
      </w:r>
      <w:r>
        <w:t xml:space="preserve"> </w:t>
      </w:r>
      <w:r>
        <w:rPr>
          <w:i/>
          <w:iCs/>
        </w:rPr>
        <w:t xml:space="preserve">lift</w:t>
      </w:r>
      <w:r>
        <w:t xml:space="preserve">. São retidas apenas as regras que satisfazem simultaneamente os limiares mínimos de confiança e suporte. O Código-fonte 2 reproduz o cerne desse processamento.</w:t>
      </w:r>
    </w:p>
    <w:p>
      <w:pPr>
        <w:pStyle w:val="BodyText"/>
      </w:pPr>
      <w:r>
        <w:rPr>
          <w:b/>
          <w:bCs/>
        </w:rPr>
        <w:t xml:space="preserve">Código-fonte 2 — Cálculo das métricas por par de produtos (</w:t>
      </w:r>
      <w:r>
        <w:rPr>
          <w:rStyle w:val="VerbatimChar"/>
          <w:b/>
          <w:bCs/>
        </w:rPr>
        <w:t xml:space="preserve">services/recomendacao.js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transacoesComAeB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transacoesComA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support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transacoesComAeB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totalTransacoes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minConfidence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support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minSupport)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supportB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transacoesComB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totalTransacoes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supportB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supportB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antecedente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produtoA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consequente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produtoB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frequencia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transacoesComAeB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Fonte: elaborado pelo autor (2026).</w:t>
      </w:r>
    </w:p>
    <w:p>
      <w:pPr>
        <w:pStyle w:val="BodyText"/>
      </w:pPr>
      <w:r>
        <w:t xml:space="preserve">Os limiares são centralizados em um único arquivo de configuração, com os valores definidos para o estudo: confiança mínima de</w:t>
      </w:r>
      <w:r>
        <w:t xml:space="preserve"> </w:t>
      </w:r>
      <w:r>
        <w:rPr>
          <w:b/>
          <w:bCs/>
        </w:rPr>
        <w:t xml:space="preserve">0,30</w:t>
      </w:r>
      <w:r>
        <w:t xml:space="preserve">, suporte mínimo de</w:t>
      </w:r>
      <w:r>
        <w:t xml:space="preserve"> </w:t>
      </w:r>
      <w:r>
        <w:rPr>
          <w:b/>
          <w:bCs/>
        </w:rPr>
        <w:t xml:space="preserve">0,02</w:t>
      </w:r>
      <w:r>
        <w:t xml:space="preserve">,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mínimo de</w:t>
      </w:r>
      <w:r>
        <w:t xml:space="preserve"> </w:t>
      </w:r>
      <w:r>
        <w:rPr>
          <w:b/>
          <w:bCs/>
        </w:rPr>
        <w:t xml:space="preserve">1,0</w:t>
      </w:r>
      <w:r>
        <w:t xml:space="preserve"> </w:t>
      </w:r>
      <w:r>
        <w:t xml:space="preserve">e número de recomendações</w:t>
      </w:r>
      <w:r>
        <w:t xml:space="preserve"> </w:t>
      </w:r>
      <w:r>
        <w:rPr>
          <w:b/>
          <w:bCs/>
        </w:rPr>
        <w:t xml:space="preserve">Top-N igual a 3</w:t>
      </w:r>
      <w:r>
        <w:t xml:space="preserve">. A escolha desses valores e seu efeito sobre o conjunto de regras são analisados no Capítulo 5. Ao final, as regras são ordenadas por confiança decrescente, o que simplifica a etapa de geração de recomendações.</w:t>
      </w:r>
    </w:p>
    <w:bookmarkEnd w:id="18"/>
    <w:bookmarkStart w:id="19" w:name="geração-de-recomendações-top-n"/>
    <w:p>
      <w:pPr>
        <w:pStyle w:val="Heading2"/>
      </w:pPr>
      <w:r>
        <w:t xml:space="preserve">4.5 Geração de recomendações Top-N</w:t>
      </w:r>
    </w:p>
    <w:p>
      <w:pPr>
        <w:pStyle w:val="FirstParagraph"/>
      </w:pPr>
      <w:r>
        <w:t xml:space="preserve">A geração de recomendações é separada do cálculo das regras, o que permite reaproveitar o mesmo conjunto de regras para múltiplas consultas sem recalculá-las. Dada a identificação de um produto, a função</w:t>
      </w:r>
      <w:r>
        <w:t xml:space="preserve"> </w:t>
      </w:r>
      <w:r>
        <w:rPr>
          <w:rStyle w:val="VerbatimChar"/>
        </w:rPr>
        <w:t xml:space="preserve">obterRecomendacoes</w:t>
      </w:r>
      <w:r>
        <w:t xml:space="preserve"> </w:t>
      </w:r>
      <w:r>
        <w:t xml:space="preserve">filtra as regras cujo antecedente corresponde ao produto consultado e retorna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primeiras — que, por já estarem ordenadas por confiança, são as mais fortes. O parâmetro</w:t>
      </w:r>
      <w:r>
        <w:t xml:space="preserve"> </w:t>
      </w:r>
      <m:oMath>
        <m:r>
          <m:t>N</m:t>
        </m:r>
      </m:oMath>
      <w:r>
        <w:t xml:space="preserve">, fixado em 3, equilibra a relevância das sugestões com a clareza da interface, evitando sobrecarregar o usuário com recomendações de baixa confiança.</w:t>
      </w:r>
    </w:p>
    <w:bookmarkEnd w:id="19"/>
    <w:bookmarkStart w:id="20" w:name="api-rest"/>
    <w:p>
      <w:pPr>
        <w:pStyle w:val="Heading2"/>
      </w:pPr>
      <w:r>
        <w:t xml:space="preserve">4.6 API REST</w:t>
      </w:r>
    </w:p>
    <w:p>
      <w:pPr>
        <w:pStyle w:val="FirstParagraph"/>
      </w:pPr>
      <w:r>
        <w:t xml:space="preserve">A lógica do sistema é exposta por uma API REST organizada em quatro grupos de rotas, além de um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de verificação de integridade. O Quadro 4 sintetiza os pontos de acesso.</w:t>
      </w:r>
    </w:p>
    <w:p>
      <w:pPr>
        <w:pStyle w:val="BodyText"/>
      </w:pPr>
      <w:r>
        <w:rPr>
          <w:b/>
          <w:bCs/>
        </w:rPr>
        <w:t xml:space="preserve">Quadro 4 — Endpoints da API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e rota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Verificação de disponibilidade do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/api/recomendacoes/:produtoId</w:t>
            </w:r>
          </w:p>
        </w:tc>
        <w:tc>
          <w:tcPr/>
          <w:p>
            <w:pPr>
              <w:pStyle w:val="Compact"/>
            </w:pPr>
            <w:r>
              <w:t xml:space="preserve">Recomendações Top-N para um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/api/estatisticas</w:t>
            </w:r>
          </w:p>
        </w:tc>
        <w:tc>
          <w:tcPr/>
          <w:p>
            <w:pPr>
              <w:pStyle w:val="Compact"/>
            </w:pPr>
            <w:r>
              <w:t xml:space="preserve">Métricas globais (total de regras, médias de confiança/suporte)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/api/validacao</w:t>
            </w:r>
          </w:p>
        </w:tc>
        <w:tc>
          <w:tcPr/>
          <w:p>
            <w:pPr>
              <w:pStyle w:val="Compact"/>
            </w:pPr>
            <w:r>
              <w:t xml:space="preserve">Precision, Recall e F1-Score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/api/produtos?q=&lt;termo&gt;</w:t>
            </w:r>
          </w:p>
        </w:tc>
        <w:tc>
          <w:tcPr/>
          <w:p>
            <w:pPr>
              <w:pStyle w:val="Compact"/>
            </w:pPr>
            <w:r>
              <w:t xml:space="preserve">Busca parcial de produtos (autocomplete)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p>
      <w:pPr>
        <w:pStyle w:val="BodyText"/>
      </w:pPr>
      <w:r>
        <w:t xml:space="preserve">Cada grupo de rotas delega a lógica aos serviços correspondentes, mantendo as rotas enxutas e focadas no protocolo HTTP — validação de parâmetros, códigos de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e serialização da resposta em JSON. O servidor é configurado com CORS restrito ao domínio do</w:t>
      </w:r>
      <w:r>
        <w:t xml:space="preserve"> </w:t>
      </w:r>
      <w:r>
        <w:rPr>
          <w:i/>
          <w:iCs/>
        </w:rPr>
        <w:t xml:space="preserve">front-end</w:t>
      </w:r>
      <w:r>
        <w:t xml:space="preserve">, e sua inicialização é separada da definição da aplicação, o que permite que os testes de integração importem a aplicação sem subir uma porta de rede.</w:t>
      </w:r>
    </w:p>
    <w:bookmarkEnd w:id="20"/>
    <w:bookmarkStart w:id="21" w:name="cache-com-degradação-graceful"/>
    <w:p>
      <w:pPr>
        <w:pStyle w:val="Heading2"/>
      </w:pPr>
      <w:r>
        <w:t xml:space="preserve">4.7 Cache com degradação graceful</w:t>
      </w:r>
    </w:p>
    <w:p>
      <w:pPr>
        <w:pStyle w:val="FirstParagraph"/>
      </w:pPr>
      <w:r>
        <w:t xml:space="preserve">Como o cálculo das regras percorre todas as transações a cada requisição, introduziu-se uma camada de cache em Redis que memoriza os resultados por um período determinado (uma hora para recomendações; trinta minutos para estatísticas, que variam com mais frequência). A consulta primeiro verifica o cache; em caso de acerto, devolve o resultado memorizado; em caso de falha, calcula, armazena e retorna.</w:t>
      </w:r>
    </w:p>
    <w:p>
      <w:pPr>
        <w:pStyle w:val="BodyText"/>
      </w:pPr>
      <w:r>
        <w:t xml:space="preserve">O aspecto distintivo do projeto é a</w:t>
      </w:r>
      <w:r>
        <w:t xml:space="preserve"> </w:t>
      </w:r>
      <w:r>
        <w:rPr>
          <w:b/>
          <w:bCs/>
        </w:rPr>
        <w:t xml:space="preserve">degradação graceful</w:t>
      </w:r>
      <w:r>
        <w:t xml:space="preserve">: o Redis é tratado como dependência</w:t>
      </w:r>
      <w:r>
        <w:t xml:space="preserve"> </w:t>
      </w:r>
      <w:r>
        <w:rPr>
          <w:b/>
          <w:bCs/>
        </w:rPr>
        <w:t xml:space="preserve">opcional</w:t>
      </w:r>
      <w:r>
        <w:t xml:space="preserve">. Caso o servidor de cache esteja indisponível — situação comum em ambiente de desenvolvimento —, as operações de leitura e escrita no cache falham silenciosamente, e o sistema simplesmente recalcula as regras a cada requisição. Há perda de desempenho, mas nunca de corretude ou disponibilidade. Essa decisão reduz a barreira de instalação e adequa-se ao perfil de baixa infraestrutura visado pelo trabalho.</w:t>
      </w:r>
    </w:p>
    <w:bookmarkEnd w:id="21"/>
    <w:bookmarkStart w:id="25" w:name="interface-web"/>
    <w:p>
      <w:pPr>
        <w:pStyle w:val="Heading2"/>
      </w:pPr>
      <w:r>
        <w:t xml:space="preserve">4.8 Interface web</w:t>
      </w:r>
    </w:p>
    <w:p>
      <w:pPr>
        <w:pStyle w:val="FirstParagraph"/>
      </w:pPr>
      <w:r>
        <w:t xml:space="preserve">A interface, desenvolvida em React com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via Vite, materializa-se em um painel (</w:t>
      </w:r>
      <w:r>
        <w:rPr>
          <w:i/>
          <w:iCs/>
        </w:rPr>
        <w:t xml:space="preserve">dashboard</w:t>
      </w:r>
      <w:r>
        <w:t xml:space="preserve">) que reúne as funcionalidades de consulta. Seus principais componentes são: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Busca de produto com autocomplete</w:t>
      </w:r>
      <w:r>
        <w:t xml:space="preserve"> </w:t>
      </w:r>
      <w:r>
        <w:t xml:space="preserve">— à medida que o usuário digita, o componente consulta o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de busca parcial e exibe sugestões de produtos correspondentes, dispensando o conhecimento do nome exato.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Cartões de recomendação</w:t>
      </w:r>
      <w:r>
        <w:t xml:space="preserve"> </w:t>
      </w:r>
      <w:r>
        <w:t xml:space="preserve">— para o produto selecionado, apresentam-se as recomendações Top-N, cada qual acompanhada de suas métricas de confiança, suporte e</w:t>
      </w:r>
      <w:r>
        <w:t xml:space="preserve"> </w:t>
      </w:r>
      <w:r>
        <w:rPr>
          <w:i/>
          <w:iCs/>
        </w:rPr>
        <w:t xml:space="preserve">lift</w:t>
      </w:r>
      <w:r>
        <w:t xml:space="preserve">, tornando a sugestão interpretável pela equipe de vendas.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Gráficos das regras</w:t>
      </w:r>
      <w:r>
        <w:t xml:space="preserve"> </w:t>
      </w:r>
      <w:r>
        <w:t xml:space="preserve">— por meio da biblioteca Chart.js, visualizam-se as regras de maior destaque e a distribuição das métricas, conferindo uma leitura agregada dos padrões descobertos.</w:t>
      </w:r>
    </w:p>
    <w:p>
      <w:pPr>
        <w:pStyle w:val="FirstParagraph"/>
      </w:pPr>
      <w:r>
        <w:rPr>
          <w:b/>
          <w:bCs/>
        </w:rPr>
        <w:t xml:space="preserve">Figura 3 — Painel principal do sistema</w:t>
      </w:r>
    </w:p>
    <w:p>
      <w:pPr>
        <w:pStyle w:val="BodyText"/>
      </w:pPr>
      <w:r>
        <w:drawing>
          <wp:inline>
            <wp:extent cx="5334000" cy="749754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as/figura3-dashbo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Fonte: elaborado pelo autor (2026).</w:t>
      </w:r>
    </w:p>
    <w:p>
      <w:pPr>
        <w:pStyle w:val="BodyText"/>
      </w:pPr>
      <w:r>
        <w:t xml:space="preserve">A comunicação com a API é centralizada em um módulo de serviço do</w:t>
      </w:r>
      <w:r>
        <w:t xml:space="preserve"> </w:t>
      </w:r>
      <w:r>
        <w:rPr>
          <w:i/>
          <w:iCs/>
        </w:rPr>
        <w:t xml:space="preserve">front-end</w:t>
      </w:r>
      <w:r>
        <w:t xml:space="preserve">, e o ambiente de desenvolvimento utiliza 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do Vite para encaminhar as chamadas ao servidor Express, evitando questões de CORS durante o desenvolvimento.</w:t>
      </w:r>
    </w:p>
    <w:bookmarkEnd w:id="25"/>
    <w:bookmarkStart w:id="26" w:name="decisões-de-projeto-e-trade-offs"/>
    <w:p>
      <w:pPr>
        <w:pStyle w:val="Heading2"/>
      </w:pPr>
      <w:r>
        <w:t xml:space="preserve">4.9 Decisões de projeto e</w:t>
      </w:r>
      <w:r>
        <w:t xml:space="preserve"> </w:t>
      </w:r>
      <w:r>
        <w:rPr>
          <w:i/>
          <w:iCs/>
        </w:rPr>
        <w:t xml:space="preserve">trade-offs</w:t>
      </w:r>
    </w:p>
    <w:p>
      <w:pPr>
        <w:pStyle w:val="FirstParagraph"/>
      </w:pPr>
      <w:r>
        <w:t xml:space="preserve">O desenvolvimento envolveu escolhas conscientes, ditadas pelo contexto de baixo volume de dados e baixo custo de infraestrutura. As principais são sintetizadas a seguir.</w:t>
      </w:r>
    </w:p>
    <w:p>
      <w:pPr>
        <w:pStyle w:val="BodyText"/>
      </w:pPr>
      <w:r>
        <w:rPr>
          <w:b/>
          <w:bCs/>
        </w:rPr>
        <w:t xml:space="preserve">Extração par-a-par em vez do Apriori completo.</w:t>
      </w:r>
      <w:r>
        <w:t xml:space="preserve"> </w:t>
      </w:r>
      <w:r>
        <w:t xml:space="preserve">A literatura aponta o Apriori (AGRAWAL; SRIKANT, 1994) e o FP-Growth (HAN; PEI; YIN, 2000) como algoritmos canônicos para a mineração de itemsets de qualquer cardinalidade. Optou-se, contudo, por restringir a mineração a regras de um para um item. A complexidade do procedimento é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sendo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 número de transações 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 de produtos; para a ordem de grandeza deste estudo (dezenas de transações e produtos), o custo é irrelevante, e a restrição evita a proliferação de regras multi-item de suporte ínfimo, que seriam estatisticamente frágeis. A generalização para itemsets maiores fica registrada como trabalho futuro, a ser considerada quando o volume de dados crescer.</w:t>
      </w:r>
    </w:p>
    <w:p>
      <w:pPr>
        <w:pStyle w:val="BodyText"/>
      </w:pPr>
      <w:r>
        <w:rPr>
          <w:b/>
          <w:bCs/>
        </w:rPr>
        <w:t xml:space="preserve">Acesso via PostgREST em vez de SQL direto.</w:t>
      </w:r>
      <w:r>
        <w:t xml:space="preserve"> </w:t>
      </w:r>
      <w:r>
        <w:t xml:space="preserve">Privilegiou-se a simplicidade operacional e o custo zero da camada gratuita do Supabase, ao preço de menor controle sobre a otimização das consultas — irrelevante na escala atual.</w:t>
      </w:r>
    </w:p>
    <w:p>
      <w:pPr>
        <w:pStyle w:val="BodyText"/>
      </w:pPr>
      <w:r>
        <w:rPr>
          <w:b/>
          <w:bCs/>
        </w:rPr>
        <w:t xml:space="preserve">Cache opcional em vez de obrigatório.</w:t>
      </w:r>
      <w:r>
        <w:t xml:space="preserve"> </w:t>
      </w:r>
      <w:r>
        <w:t xml:space="preserve">Aceitou-se uma possível perda de desempenho na ausência de Redis em troca de menor complexidade de implantação, coerente com o público-alvo de pequenas empresas.</w:t>
      </w:r>
    </w:p>
    <w:p>
      <w:pPr>
        <w:pStyle w:val="BodyText"/>
      </w:pPr>
      <w:r>
        <w:rPr>
          <w:b/>
          <w:bCs/>
        </w:rPr>
        <w:t xml:space="preserve">Persistência das regras em memória a cada requisição.</w:t>
      </w:r>
      <w:r>
        <w:t xml:space="preserve"> </w:t>
      </w:r>
      <w:r>
        <w:t xml:space="preserve">Em vez de manter uma tabela de regras pré-calculadas constantemente sincronizada, recalculam-se as regras sob demanda (com auxílio do cache). Como os dados transacionais mudam com baixa frequência em uma pequena distribuidora, o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favorece a simplicidade e a consistência sobre a antecipação do cálculo.</w:t>
      </w:r>
    </w:p>
    <w:p>
      <w:pPr>
        <w:pStyle w:val="BodyText"/>
      </w:pPr>
      <w:r>
        <w:t xml:space="preserve">Em conjunto, essas decisões refletem o princípio orientador do projeto: entregar um sistema</w:t>
      </w:r>
      <w:r>
        <w:t xml:space="preserve"> </w:t>
      </w:r>
      <w:r>
        <w:rPr>
          <w:b/>
          <w:bCs/>
        </w:rPr>
        <w:t xml:space="preserve">completo, correto e reproduzível</w:t>
      </w:r>
      <w:r>
        <w:t xml:space="preserve">, dimensionado ao problema real, em vez de uma solução sobre-engenheirada para uma escala que o cenário B2B investigado não demanda.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2026-06-18T19:03:35Z</dcterms:created>
  <dcterms:modified xsi:type="dcterms:W3CDTF">2026-06-18T19:03:35Z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