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undamentação-teórica"/>
    <w:p>
      <w:pPr>
        <w:pStyle w:val="Heading1"/>
      </w:pPr>
      <w:r>
        <w:t xml:space="preserve">2 FUNDAMENTAÇÃO TEÓRICA</w:t>
      </w:r>
    </w:p>
    <w:p>
      <w:pPr>
        <w:pStyle w:val="FirstParagraph"/>
      </w:pPr>
      <w:r>
        <w:t xml:space="preserve">Este capítulo reúne os fundamentos teóricos que sustentam o desenvolvimento e a avaliação do sistema proposto. Inicia-se pela definição e taxonomia dos sistemas de recomendação (Seção 2.1), passando às regras de associação e ao algoritmo Apriori (Seção 2.2). Em seguida, discute-se o problema do</w:t>
      </w:r>
      <w:r>
        <w:t xml:space="preserve"> </w:t>
      </w:r>
      <w:r>
        <w:rPr>
          <w:i/>
          <w:iCs/>
        </w:rPr>
        <w:t xml:space="preserve">cold start</w:t>
      </w:r>
      <w:r>
        <w:t xml:space="preserve"> </w:t>
      </w:r>
      <w:r>
        <w:t xml:space="preserve">e da esparsidade (Seção 2.3) — central para justificar a escolha metodológica deste trabalho —, o</w:t>
      </w:r>
      <w:r>
        <w:t xml:space="preserve"> </w:t>
      </w:r>
      <w:r>
        <w:rPr>
          <w:i/>
          <w:iCs/>
        </w:rPr>
        <w:t xml:space="preserve">cross-sell</w:t>
      </w:r>
      <w:r>
        <w:t xml:space="preserve"> </w:t>
      </w:r>
      <w:r>
        <w:t xml:space="preserve">no comércio B2B (Seção 2.4) e as métricas de avaliação de recomendações (Seção 2.5). O capítulo encerra com a discussão dos trabalhos relacionados (Seção 2.6).</w:t>
      </w:r>
    </w:p>
    <w:bookmarkStart w:id="13" w:name="sistemas-de-recomendação"/>
    <w:p>
      <w:pPr>
        <w:pStyle w:val="Heading2"/>
      </w:pPr>
      <w:r>
        <w:t xml:space="preserve">2.1 Sistemas de recomendação</w:t>
      </w:r>
    </w:p>
    <w:bookmarkStart w:id="9" w:name="definição-e-taxonomia"/>
    <w:p>
      <w:pPr>
        <w:pStyle w:val="Heading3"/>
      </w:pPr>
      <w:r>
        <w:t xml:space="preserve">2.1.1 Definição e taxonomia</w:t>
      </w:r>
    </w:p>
    <w:p>
      <w:pPr>
        <w:pStyle w:val="FirstParagraph"/>
      </w:pPr>
      <w:r>
        <w:t xml:space="preserve">Sistemas de recomendação são ferramentas de software e técnicas que fornecem sugestões de itens potencialmente úteis a um usuário (RICCI; ROKACH; SHAPIRA, 2015). O termo foi cunhado por Resnick e Varian (1997), que descreveram esses sistemas como mecanismos capazes de auxiliar e ampliar o processo social natural de recomendação, no qual as pessoas se apoiam em sugestões de terceiros para tomar decisões diante de um excesso de opções.</w:t>
      </w:r>
    </w:p>
    <w:p>
      <w:pPr>
        <w:pStyle w:val="BodyText"/>
      </w:pPr>
      <w:r>
        <w:t xml:space="preserve">Adomavicius e Tuzhilin (2005), em survey de referência, formalizam o problema de recomendação como a estimativa de uma função de utilidade que, dado um usuário e um item ainda não avaliado, prevê o quão relevante aquele item será para aquele usuário. A partir dessa formulação, os autores consolidam uma taxonomia hoje canônica, que distingue três grandes abordagens: a filtragem colaborativa, a filtragem baseada em conteúdo e os métodos híbridos.</w:t>
      </w:r>
    </w:p>
    <w:bookmarkEnd w:id="9"/>
    <w:bookmarkStart w:id="10" w:name="filtragem-colaborativa"/>
    <w:p>
      <w:pPr>
        <w:pStyle w:val="Heading3"/>
      </w:pPr>
      <w:r>
        <w:t xml:space="preserve">2.1.2 Filtragem colaborativa</w:t>
      </w:r>
    </w:p>
    <w:p>
      <w:pPr>
        <w:pStyle w:val="FirstParagraph"/>
      </w:pPr>
      <w:r>
        <w:t xml:space="preserve">A filtragem colaborativa (</w:t>
      </w:r>
      <w:r>
        <w:rPr>
          <w:i/>
          <w:iCs/>
        </w:rPr>
        <w:t xml:space="preserve">collaborative filtering</w:t>
      </w:r>
      <w:r>
        <w:t xml:space="preserve">) recomenda itens com base nas preferências de usuários semelhantes, partindo da premissa de que pessoas que concordaram no passado tenderão a concordar no futuro (SARWAR et al., 2001). Seu insumo fundamental é uma</w:t>
      </w:r>
      <w:r>
        <w:t xml:space="preserve"> </w:t>
      </w:r>
      <w:r>
        <w:rPr>
          <w:b/>
          <w:bCs/>
        </w:rPr>
        <w:t xml:space="preserve">matriz usuário-item</w:t>
      </w:r>
      <w:r>
        <w:t xml:space="preserve">, na qual cada célula registra a avaliação (explícita) ou a interação (implícita) de um usuário com um item.</w:t>
      </w:r>
    </w:p>
    <w:p>
      <w:pPr>
        <w:pStyle w:val="BodyText"/>
      </w:pPr>
      <w:r>
        <w:t xml:space="preserve">Duas vertentes principais se destacam. A filtragem colaborativa baseada em usuários busca vizinhos semelhantes ao usuário-alvo; a baseada em itens, proposta por Sarwar et al. (2001) e popularizada pela Amazon (LINDEN; SMITH; YORK, 2003), calcula similaridades entre itens e mostrou-se mais escalável. Mais recentemente, técnicas de</w:t>
      </w:r>
      <w:r>
        <w:t xml:space="preserve"> </w:t>
      </w:r>
      <w:r>
        <w:rPr>
          <w:b/>
          <w:bCs/>
        </w:rPr>
        <w:t xml:space="preserve">fatoração de matrizes</w:t>
      </w:r>
      <w:r>
        <w:t xml:space="preserve"> </w:t>
      </w:r>
      <w:r>
        <w:t xml:space="preserve">(</w:t>
      </w:r>
      <w:r>
        <w:rPr>
          <w:i/>
          <w:iCs/>
        </w:rPr>
        <w:t xml:space="preserve">matrix factorization</w:t>
      </w:r>
      <w:r>
        <w:t xml:space="preserve">) tornaram-se o padrão da indústria após o Prêmio Netflix, ao decompor a matriz usuário-item em fatores latentes que capturam preferências não observáveis diretamente (KOREN; BELL; VOLINSKY, 2009).</w:t>
      </w:r>
    </w:p>
    <w:p>
      <w:pPr>
        <w:pStyle w:val="BodyText"/>
      </w:pPr>
      <w:r>
        <w:t xml:space="preserve">O ponto crítico — e diretamente relevante para este trabalho — é que toda filtragem colaborativa pressupõe uma matriz usuário-item suficientemente</w:t>
      </w:r>
      <w:r>
        <w:t xml:space="preserve"> </w:t>
      </w:r>
      <w:r>
        <w:rPr>
          <w:b/>
          <w:bCs/>
        </w:rPr>
        <w:t xml:space="preserve">densa</w:t>
      </w:r>
      <w:r>
        <w:t xml:space="preserve">. Quando há poucos usuários, poucos itens avaliados por usuário, ou ausência completa de avaliações, a similaridade entre usuários ou itens torna-se estatisticamente frágil ou impossível de calcular (SARWAR et al., 2001). É precisamente essa a condição do cenário B2B de baixo volume investigado nesta monografia.</w:t>
      </w:r>
    </w:p>
    <w:bookmarkEnd w:id="10"/>
    <w:bookmarkStart w:id="11" w:name="filtragem-baseada-em-conteúdo"/>
    <w:p>
      <w:pPr>
        <w:pStyle w:val="Heading3"/>
      </w:pPr>
      <w:r>
        <w:t xml:space="preserve">2.1.3 Filtragem baseada em conteúdo</w:t>
      </w:r>
    </w:p>
    <w:p>
      <w:pPr>
        <w:pStyle w:val="FirstParagraph"/>
      </w:pPr>
      <w:r>
        <w:t xml:space="preserve">A filtragem baseada em conteúdo (</w:t>
      </w:r>
      <w:r>
        <w:rPr>
          <w:i/>
          <w:iCs/>
        </w:rPr>
        <w:t xml:space="preserve">content-based filtering</w:t>
      </w:r>
      <w:r>
        <w:t xml:space="preserve">) recomenda itens semelhantes àqueles que o usuário apreciou no passado, apoiando-se nos</w:t>
      </w:r>
      <w:r>
        <w:t xml:space="preserve"> </w:t>
      </w:r>
      <w:r>
        <w:rPr>
          <w:b/>
          <w:bCs/>
        </w:rPr>
        <w:t xml:space="preserve">atributos dos próprios itens</w:t>
      </w:r>
      <w:r>
        <w:t xml:space="preserve"> </w:t>
      </w:r>
      <w:r>
        <w:t xml:space="preserve">— categoria, marca, descrição textual, características técnicas (ADOMAVICIUS; TUZHILIN, 2005). Constrói-se um perfil do usuário a partir dos atributos dos itens com os quais ele interagiu e recomendam-se novos itens cujo conteúdo seja próximo a esse perfil.</w:t>
      </w:r>
    </w:p>
    <w:p>
      <w:pPr>
        <w:pStyle w:val="BodyText"/>
      </w:pPr>
      <w:r>
        <w:t xml:space="preserve">Essa abordagem dispensa dados de outros usuários, o que a torna resistente à esparsidade interusuário. Em contrapartida, tende à</w:t>
      </w:r>
      <w:r>
        <w:t xml:space="preserve"> </w:t>
      </w:r>
      <w:r>
        <w:rPr>
          <w:b/>
          <w:bCs/>
        </w:rPr>
        <w:t xml:space="preserve">superespecialização</w:t>
      </w:r>
      <w:r>
        <w:t xml:space="preserve">: recomenda apenas o</w:t>
      </w:r>
      <w:r>
        <w:t xml:space="preserve"> </w:t>
      </w:r>
      <w:r>
        <w:t xml:space="preserve">“mais do mesmo”</w:t>
      </w:r>
      <w:r>
        <w:t xml:space="preserve">, limitando a descoberta de itens complementares de categorias distintas — justamente o tipo de associação que interessa ao</w:t>
      </w:r>
      <w:r>
        <w:t xml:space="preserve"> </w:t>
      </w:r>
      <w:r>
        <w:rPr>
          <w:i/>
          <w:iCs/>
        </w:rPr>
        <w:t xml:space="preserve">cross-sell</w:t>
      </w:r>
      <w:r>
        <w:t xml:space="preserve"> </w:t>
      </w:r>
      <w:r>
        <w:t xml:space="preserve">(AGGARWAL, 2016). Além disso, exige uma representação rica e estruturada dos atributos dos produtos, nem sempre disponível em catálogos de pequenas distribuidoras.</w:t>
      </w:r>
    </w:p>
    <w:bookmarkEnd w:id="11"/>
    <w:bookmarkStart w:id="12" w:name="abordagens-híbridas"/>
    <w:p>
      <w:pPr>
        <w:pStyle w:val="Heading3"/>
      </w:pPr>
      <w:r>
        <w:t xml:space="preserve">2.1.4 Abordagens híbridas</w:t>
      </w:r>
    </w:p>
    <w:p>
      <w:pPr>
        <w:pStyle w:val="FirstParagraph"/>
      </w:pPr>
      <w:r>
        <w:t xml:space="preserve">Os métodos híbridos combinam duas ou mais técnicas para mitigar as limitações individuais de cada uma — por exemplo, usando conteúdo para contornar o</w:t>
      </w:r>
      <w:r>
        <w:t xml:space="preserve"> </w:t>
      </w:r>
      <w:r>
        <w:rPr>
          <w:i/>
          <w:iCs/>
        </w:rPr>
        <w:t xml:space="preserve">cold start</w:t>
      </w:r>
      <w:r>
        <w:t xml:space="preserve"> </w:t>
      </w:r>
      <w:r>
        <w:t xml:space="preserve">da filtragem colaborativa (ADOMAVICIUS; TUZHILIN, 2005; RICCI; ROKACH; SHAPIRA, 2015). Embora frequentemente alcancem desempenho superior, ampliam a complexidade de implementação e os requisitos de dados, o que os torna pouco adequados ao escopo deste trabalho. Registra-se, ainda, que as regras de associação — núcleo desta monografia — constituem uma abordagem distinta das três anteriores: não dependem de perfis de usuário individuais, mas de padrões de coocorrência no conjunto das transações (AGGARWAL, 2016).</w:t>
      </w:r>
    </w:p>
    <w:bookmarkEnd w:id="12"/>
    <w:bookmarkEnd w:id="13"/>
    <w:bookmarkStart w:id="17" w:name="Xb48d606c3d8125f99e6a67637916ad64a252256"/>
    <w:p>
      <w:pPr>
        <w:pStyle w:val="Heading2"/>
      </w:pPr>
      <w:r>
        <w:t xml:space="preserve">2.2 Regras de associação (Market Basket Analysis)</w:t>
      </w:r>
    </w:p>
    <w:bookmarkStart w:id="14" w:name="conceito-e-itemsets"/>
    <w:p>
      <w:pPr>
        <w:pStyle w:val="Heading3"/>
      </w:pPr>
      <w:r>
        <w:t xml:space="preserve">2.2.1 Conceito e itemsets</w:t>
      </w:r>
    </w:p>
    <w:p>
      <w:pPr>
        <w:pStyle w:val="FirstParagraph"/>
      </w:pPr>
      <w:r>
        <w:t xml:space="preserve">As regras de associação foram introduzidas por Agrawal, Imieliński e Swami (1993) com o propósito de descobrir relações entre itens em grandes bases de dados transacionais — problema popularizado sob o nome de</w:t>
      </w:r>
      <w:r>
        <w:t xml:space="preserve"> </w:t>
      </w:r>
      <w:r>
        <w:rPr>
          <w:i/>
          <w:iCs/>
        </w:rPr>
        <w:t xml:space="preserve">Market Basket Analysis</w:t>
      </w:r>
      <w:r>
        <w:t xml:space="preserve"> </w:t>
      </w:r>
      <w:r>
        <w:t xml:space="preserve">(análise da cesta de compras). A questão original era direta: quais produtos os clientes de um supermercado tendem a comprar em conjunto?</w:t>
      </w:r>
    </w:p>
    <w:p>
      <w:pPr>
        <w:pStyle w:val="BodyText"/>
      </w:pPr>
      <w:r>
        <w:t xml:space="preserve">Formalmente, seja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um conjunto de itens 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um conjunto de transações, em que cada transação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é um subconjunto de itens,</w:t>
      </w:r>
      <w:r>
        <w:t xml:space="preserve"> </w:t>
      </w:r>
      <m:oMath>
        <m:r>
          <m:t>T</m:t>
        </m:r>
        <m:r>
          <m:rPr>
            <m:sty m:val="p"/>
          </m:rPr>
          <m:t>⊆</m:t>
        </m:r>
        <m:r>
          <m:t>I</m:t>
        </m:r>
      </m:oMath>
      <w:r>
        <w:t xml:space="preserve">. Um</w:t>
      </w:r>
      <w:r>
        <w:t xml:space="preserve"> </w:t>
      </w:r>
      <w:r>
        <w:rPr>
          <w:b/>
          <w:bCs/>
        </w:rPr>
        <w:t xml:space="preserve">itemset</w:t>
      </w:r>
      <w:r>
        <w:t xml:space="preserve"> </w:t>
      </w:r>
      <w:r>
        <w:t xml:space="preserve">é qualquer conjunto de itens; um itemset com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elementos é chamado</w:t>
      </w:r>
      <w:r>
        <w:t xml:space="preserve"> </w:t>
      </w:r>
      <w:r>
        <w:rPr>
          <w:i/>
          <w:iCs/>
        </w:rPr>
        <w:t xml:space="preserve">k-itemset</w:t>
      </w:r>
      <w:r>
        <w:t xml:space="preserve">. Uma</w:t>
      </w:r>
      <w:r>
        <w:t xml:space="preserve"> </w:t>
      </w:r>
      <w:r>
        <w:rPr>
          <w:b/>
          <w:bCs/>
        </w:rPr>
        <w:t xml:space="preserve">regra de associação</w:t>
      </w:r>
      <w:r>
        <w:t xml:space="preserve"> </w:t>
      </w:r>
      <w:r>
        <w:t xml:space="preserve">é uma implicação da forma</w:t>
      </w:r>
      <w:r>
        <w:t xml:space="preserve"> </w:t>
      </w:r>
      <m:oMath>
        <m:r>
          <m:t>X</m:t>
        </m:r>
        <m:r>
          <m:rPr>
            <m:sty m:val="p"/>
          </m:rPr>
          <m:t>⇒</m:t>
        </m:r>
        <m:r>
          <m:t>Y</m:t>
        </m:r>
      </m:oMath>
      <w:r>
        <w:t xml:space="preserve">, em que</w:t>
      </w:r>
      <w:r>
        <w:t xml:space="preserve"> </w:t>
      </w:r>
      <m:oMath>
        <m:r>
          <m:t>X</m:t>
        </m:r>
        <m:r>
          <m:rPr>
            <m:sty m:val="p"/>
          </m:rPr>
          <m:t>⊂</m:t>
        </m:r>
        <m:r>
          <m:t>I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⊂</m:t>
        </m:r>
        <m:r>
          <m:t>I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X</m:t>
        </m:r>
        <m:r>
          <m:rPr>
            <m:sty m:val="p"/>
          </m:rPr>
          <m:t>∩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 O itemset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é o</w:t>
      </w:r>
      <w:r>
        <w:t xml:space="preserve"> </w:t>
      </w:r>
      <w:r>
        <w:rPr>
          <w:b/>
          <w:bCs/>
        </w:rPr>
        <w:t xml:space="preserve">antecedente</w:t>
      </w:r>
      <w:r>
        <w:t xml:space="preserve"> </w:t>
      </w:r>
      <w:r>
        <w:t xml:space="preserve">e</w:t>
      </w:r>
      <w:r>
        <w:t xml:space="preserve"> </w:t>
      </w:r>
      <m:oMath>
        <m:r>
          <m:t>Y</m:t>
        </m:r>
      </m:oMath>
      <w:r>
        <w:t xml:space="preserve">, o</w:t>
      </w:r>
      <w:r>
        <w:t xml:space="preserve"> </w:t>
      </w:r>
      <w:r>
        <w:rPr>
          <w:b/>
          <w:bCs/>
        </w:rPr>
        <w:t xml:space="preserve">consequente</w:t>
      </w:r>
      <w:r>
        <w:t xml:space="preserve"> </w:t>
      </w:r>
      <w:r>
        <w:t xml:space="preserve">da regra (AGRAWAL; IMIELIŃSKI; SWAMI, 1993). Lê-se:</w:t>
      </w:r>
      <w:r>
        <w:t xml:space="preserve"> </w:t>
      </w:r>
      <w:r>
        <w:t xml:space="preserve">“transações que contêm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tendem a conter também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— por exemplo,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Leite</m:t>
        </m:r>
        <m:r>
          <m:rPr>
            <m:sty m:val="p"/>
          </m:rPr>
          <m:t>}</m:t>
        </m:r>
        <m:r>
          <m:rPr>
            <m:sty m:val="p"/>
          </m:rPr>
          <m:t>⇒</m:t>
        </m:r>
        <m:r>
          <m:rPr>
            <m:sty m:val="p"/>
          </m:rPr>
          <m:t>{</m:t>
        </m:r>
        <m:r>
          <m:rPr>
            <m:nor/>
            <m:sty m:val="p"/>
          </m:rPr>
          <m:t>Pão</m:t>
        </m:r>
        <m:r>
          <m:rPr>
            <m:sty m:val="p"/>
          </m:rPr>
          <m:t>}</m:t>
        </m:r>
      </m:oMath>
      <w:r>
        <w:t xml:space="preserve">.</w:t>
      </w:r>
    </w:p>
    <w:bookmarkEnd w:id="14"/>
    <w:bookmarkStart w:id="15" w:name="algoritmo-apriori"/>
    <w:p>
      <w:pPr>
        <w:pStyle w:val="Heading3"/>
      </w:pPr>
      <w:r>
        <w:t xml:space="preserve">2.2.2 Algoritmo Apriori</w:t>
      </w:r>
    </w:p>
    <w:p>
      <w:pPr>
        <w:pStyle w:val="FirstParagraph"/>
      </w:pPr>
      <w:r>
        <w:t xml:space="preserve">O número de itemsets candidatos cresce exponencialmente com a quantidade de itens, tornando inviável a contagem por força bruta. O algoritmo</w:t>
      </w:r>
      <w:r>
        <w:t xml:space="preserve"> </w:t>
      </w:r>
      <w:r>
        <w:rPr>
          <w:b/>
          <w:bCs/>
        </w:rPr>
        <w:t xml:space="preserve">Apriori</w:t>
      </w:r>
      <w:r>
        <w:t xml:space="preserve">, proposto por Agrawal e Srikant (1994), resolve esse problema explorando uma propriedade de antimonotonicidade conhecida como</w:t>
      </w:r>
      <w:r>
        <w:t xml:space="preserve"> </w:t>
      </w:r>
      <w:r>
        <w:rPr>
          <w:b/>
          <w:bCs/>
        </w:rPr>
        <w:t xml:space="preserve">princípio Apriori</w:t>
      </w:r>
      <w:r>
        <w:t xml:space="preserve">:</w:t>
      </w:r>
      <w:r>
        <w:t xml:space="preserve"> </w:t>
      </w:r>
      <w:r>
        <w:rPr>
          <w:i/>
          <w:iCs/>
        </w:rPr>
        <w:t xml:space="preserve">se um itemset é frequente, todos os seus subconjuntos também o são; inversamente, se um itemset é infrequente, todos os seus superconjuntos também serão infrequentes</w:t>
      </w:r>
      <w:r>
        <w:t xml:space="preserve">.</w:t>
      </w:r>
    </w:p>
    <w:p>
      <w:pPr>
        <w:pStyle w:val="BodyText"/>
      </w:pPr>
      <w:r>
        <w:t xml:space="preserve">Esse princípio permite</w:t>
      </w:r>
      <w:r>
        <w:t xml:space="preserve"> </w:t>
      </w:r>
      <w:r>
        <w:rPr>
          <w:b/>
          <w:bCs/>
        </w:rPr>
        <w:t xml:space="preserve">podar</w:t>
      </w:r>
      <w:r>
        <w:t xml:space="preserve"> </w:t>
      </w:r>
      <w:r>
        <w:t xml:space="preserve">o espaço de busca: tão logo um itemset não atinja o suporte mínimo, todas as suas extensões podem ser descartadas sem contagem. O algoritmo procede iterativamente (TAN; STEINBACH; KUMAR, 2005; HAN; KAMBER; PEI, 2011):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Definir os limiares</w:t>
      </w:r>
      <w:r>
        <w:t xml:space="preserve"> </w:t>
      </w:r>
      <w:r>
        <w:t xml:space="preserve">de suporte mínimo e confiança mínima.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Encontrar itemsets frequentes</w:t>
      </w:r>
      <w:r>
        <w:t xml:space="preserve">: inicia-se com itens individuais, calculando seu suporte; a seguir combinam-se pares, trios e assim por diante, mantendo apenas os itemsets que superam o suporte mínimo.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Gerar regras</w:t>
      </w:r>
      <w:r>
        <w:t xml:space="preserve">: a partir dos itemsets frequentes, derivam-se regras</w:t>
      </w:r>
      <w:r>
        <w:t xml:space="preserve"> </w:t>
      </w:r>
      <m:oMath>
        <m:r>
          <m:t>X</m:t>
        </m:r>
        <m:r>
          <m:rPr>
            <m:sty m:val="p"/>
          </m:rPr>
          <m:t>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Avaliar as regras</w:t>
      </w:r>
      <w:r>
        <w:t xml:space="preserve"> </w:t>
      </w:r>
      <w:r>
        <w:t xml:space="preserve">pelas métricas de suporte, confiança e</w:t>
      </w:r>
      <w:r>
        <w:t xml:space="preserve"> </w:t>
      </w:r>
      <w:r>
        <w:rPr>
          <w:i/>
          <w:iCs/>
        </w:rPr>
        <w:t xml:space="preserve">lift</w:t>
      </w:r>
      <w:r>
        <w:t xml:space="preserve">, retendo apenas as que excedem os limiares definidos.</w:t>
      </w:r>
    </w:p>
    <w:p>
      <w:pPr>
        <w:pStyle w:val="FirstParagraph"/>
      </w:pPr>
      <w:r>
        <w:t xml:space="preserve">O resultado é um conjunto de</w:t>
      </w:r>
      <w:r>
        <w:t xml:space="preserve"> </w:t>
      </w:r>
      <w:r>
        <w:rPr>
          <w:b/>
          <w:bCs/>
        </w:rPr>
        <w:t xml:space="preserve">regras fortes</w:t>
      </w:r>
      <w:r>
        <w:t xml:space="preserve">, que revelam padrões de compra úteis e descartam combinações fracas ou triviais. O Apriori tornou-se o algoritmo mais citado da área, tendo recebido o</w:t>
      </w:r>
      <w:r>
        <w:t xml:space="preserve"> </w:t>
      </w:r>
      <w:r>
        <w:rPr>
          <w:i/>
          <w:iCs/>
        </w:rPr>
        <w:t xml:space="preserve">VLDB 10-Year Award</w:t>
      </w:r>
      <w:r>
        <w:t xml:space="preserve"> </w:t>
      </w:r>
      <w:r>
        <w:t xml:space="preserve">em 2004 pelo seu impacto duradouro.</w:t>
      </w:r>
    </w:p>
    <w:p>
      <w:pPr>
        <w:pStyle w:val="BodyText"/>
      </w:pPr>
      <w:r>
        <w:t xml:space="preserve">Apesar de sua eficiência relativa, o Apriori realiza múltiplas varreduras da base e gera grande número de candidatos. Han, Pei e Yin (2000) propuseram o</w:t>
      </w:r>
      <w:r>
        <w:t xml:space="preserve"> </w:t>
      </w:r>
      <w:r>
        <w:rPr>
          <w:b/>
          <w:bCs/>
        </w:rPr>
        <w:t xml:space="preserve">FP-Growth</w:t>
      </w:r>
      <w:r>
        <w:t xml:space="preserve">, que minera padrões frequentes sem geração de candidatos, por meio de uma estrutura compacta em árvore (</w:t>
      </w:r>
      <w:r>
        <w:rPr>
          <w:i/>
          <w:iCs/>
        </w:rPr>
        <w:t xml:space="preserve">FP-tree</w:t>
      </w:r>
      <w:r>
        <w:t xml:space="preserve">), alcançando desempenho até uma ordem de grandeza superior. Para o conjunto de dados reduzido deste trabalho, contudo, a eficiência assintótica não é restritiva — discussão retomada no Capítulo 4, ao justificar a estratégia de extração par-a-par adotada.</w:t>
      </w:r>
    </w:p>
    <w:bookmarkEnd w:id="15"/>
    <w:bookmarkStart w:id="16" w:name="métricas-support-confidence-e-lift"/>
    <w:p>
      <w:pPr>
        <w:pStyle w:val="Heading3"/>
      </w:pPr>
      <w:r>
        <w:t xml:space="preserve">2.2.3 Métricas: support, confidence e lift</w:t>
      </w:r>
    </w:p>
    <w:p>
      <w:pPr>
        <w:pStyle w:val="FirstParagraph"/>
      </w:pPr>
      <w:r>
        <w:t xml:space="preserve">Três métricas quantificam a relevância de uma regra de associação (AGRAWAL; IMIELIŃSKI; SWAMI, 1993; HAHSLER; GRÜN; HORNIK, 2005).</w:t>
      </w:r>
    </w:p>
    <w:p>
      <w:pPr>
        <w:pStyle w:val="BodyText"/>
      </w:pPr>
      <w:r>
        <w:rPr>
          <w:b/>
          <w:bCs/>
        </w:rPr>
        <w:t xml:space="preserve">Suporte (</w:t>
      </w:r>
      <w:r>
        <w:rPr>
          <w:b/>
          <w:bCs/>
          <w:i/>
          <w:iCs/>
        </w:rPr>
        <w:t xml:space="preserve">support</w:t>
      </w:r>
      <w:r>
        <w:rPr>
          <w:b/>
          <w:bCs/>
        </w:rPr>
        <w:t xml:space="preserve">)</w:t>
      </w:r>
      <w:r>
        <w:t xml:space="preserve"> </w:t>
      </w:r>
      <w:r>
        <w:t xml:space="preserve">mede a frequência com que o itemset aparece no conjunto de transações. Para uma regra</w:t>
      </w:r>
      <w:r>
        <w:t xml:space="preserve"> </w:t>
      </w:r>
      <m:oMath>
        <m:r>
          <m:t>X</m:t>
        </m:r>
        <m:r>
          <m:rPr>
            <m:sty m:val="p"/>
          </m:rPr>
          <m:t>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support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∪</m:t>
              </m:r>
              <m:r>
                <m:t>Y</m:t>
              </m:r>
              <m:r>
                <m:rPr>
                  <m:sty m:val="p"/>
                </m:rPr>
                <m:t>⊆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Indica o quão comum é a combinação. Um suporte de 20% significa que 20% de todas as transações contêm, simultaneamente,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Confiança (</w:t>
      </w:r>
      <w:r>
        <w:rPr>
          <w:b/>
          <w:bCs/>
          <w:i/>
          <w:iCs/>
        </w:rPr>
        <w:t xml:space="preserve">confidence</w:t>
      </w:r>
      <w:r>
        <w:rPr>
          <w:b/>
          <w:bCs/>
        </w:rPr>
        <w:t xml:space="preserve">)</w:t>
      </w:r>
      <w:r>
        <w:t xml:space="preserve"> </w:t>
      </w:r>
      <w:r>
        <w:t xml:space="preserve">mede a probabilidade condicional de o consequente ocorrer dado que o antecedente ocorreu: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confidence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support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∪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support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Uma confiança de 70% para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Leite</m:t>
        </m:r>
        <m:r>
          <m:rPr>
            <m:sty m:val="p"/>
          </m:rPr>
          <m:t>}</m:t>
        </m:r>
        <m:r>
          <m:rPr>
            <m:sty m:val="p"/>
          </m:rPr>
          <m:t>⇒</m:t>
        </m:r>
        <m:r>
          <m:rPr>
            <m:sty m:val="p"/>
          </m:rPr>
          <m:t>{</m:t>
        </m:r>
        <m:r>
          <m:rPr>
            <m:nor/>
            <m:sty m:val="p"/>
          </m:rPr>
          <m:t>Pão</m:t>
        </m:r>
        <m:r>
          <m:rPr>
            <m:sty m:val="p"/>
          </m:rPr>
          <m:t>}</m:t>
        </m:r>
      </m:oMath>
      <w:r>
        <w:t xml:space="preserve"> </w:t>
      </w:r>
      <w:r>
        <w:t xml:space="preserve">indica que, entre as transações que contêm leite, 70% também contêm pão.</w:t>
      </w:r>
    </w:p>
    <w:p>
      <w:pPr>
        <w:pStyle w:val="BodyText"/>
      </w:pPr>
      <w:r>
        <w:rPr>
          <w:b/>
          <w:bCs/>
        </w:rPr>
        <w:t xml:space="preserve">Lift (elevação)</w:t>
      </w:r>
      <w:r>
        <w:t xml:space="preserve"> </w:t>
      </w:r>
      <w:r>
        <w:t xml:space="preserve">mede a força da associação em relação ao que se esperaria caso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fossem independentes: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lift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confidence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⇒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support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∩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 interpretação do</w:t>
      </w:r>
      <w:r>
        <w:t xml:space="preserve"> </w:t>
      </w:r>
      <w:r>
        <w:rPr>
          <w:i/>
          <w:iCs/>
        </w:rPr>
        <w:t xml:space="preserve">lift</w:t>
      </w:r>
      <w:r>
        <w:t xml:space="preserve"> </w:t>
      </w:r>
      <w:r>
        <w:t xml:space="preserve">é decisiva para distinguir associações úteis de coincidências (BRIN et al., 1997):</w:t>
      </w:r>
    </w:p>
    <w:p>
      <w:pPr>
        <w:pStyle w:val="Compact"/>
        <w:numPr>
          <w:ilvl w:val="0"/>
          <w:numId w:val="1002"/>
        </w:numPr>
      </w:pPr>
      <m:oMath>
        <m:r>
          <m:rPr>
            <m:nor/>
            <m:sty m:val="p"/>
          </m:rPr>
          <m:t>lift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são independentes — a coocorrência é fruto do acaso;</w:t>
      </w:r>
    </w:p>
    <w:p>
      <w:pPr>
        <w:pStyle w:val="Compact"/>
        <w:numPr>
          <w:ilvl w:val="0"/>
          <w:numId w:val="1002"/>
        </w:numPr>
      </w:pPr>
      <m:oMath>
        <m:r>
          <m:rPr>
            <m:nor/>
            <m:sty m:val="p"/>
          </m:rPr>
          <m:t>lift</m:t>
        </m:r>
        <m:r>
          <m:rPr>
            <m:sty m:val="p"/>
          </m:rPr>
          <m:t>&gt;</m:t>
        </m:r>
        <m:r>
          <m:t>1</m:t>
        </m:r>
      </m:oMath>
      <w:r>
        <w:t xml:space="preserve">: associação</w:t>
      </w:r>
      <w:r>
        <w:t xml:space="preserve"> </w:t>
      </w:r>
      <w:r>
        <w:rPr>
          <w:b/>
          <w:bCs/>
        </w:rPr>
        <w:t xml:space="preserve">positiva</w:t>
      </w:r>
      <w:r>
        <w:t xml:space="preserve"> </w:t>
      </w:r>
      <w:r>
        <w:t xml:space="preserve">— a presença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aumenta a probabilidade de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nor/>
            <m:sty m:val="p"/>
          </m:rPr>
          <m:t>lift</m:t>
        </m:r>
        <m:r>
          <m:rPr>
            <m:sty m:val="p"/>
          </m:rPr>
          <m:t>&lt;</m:t>
        </m:r>
        <m:r>
          <m:t>1</m:t>
        </m:r>
      </m:oMath>
      <w:r>
        <w:t xml:space="preserve">: associação</w:t>
      </w:r>
      <w:r>
        <w:t xml:space="preserve"> </w:t>
      </w:r>
      <w:r>
        <w:rPr>
          <w:b/>
          <w:bCs/>
        </w:rPr>
        <w:t xml:space="preserve">negativa</w:t>
      </w:r>
      <w:r>
        <w:t xml:space="preserve"> </w:t>
      </w:r>
      <w:r>
        <w:t xml:space="preserve">— a presença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reduz a probabilidade de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A confiança, isoladamente, pode enganar: um consequente muito popular gera alta confiança mesmo sem relação real com o antecedente. O</w:t>
      </w:r>
      <w:r>
        <w:t xml:space="preserve"> </w:t>
      </w:r>
      <w:r>
        <w:rPr>
          <w:i/>
          <w:iCs/>
        </w:rPr>
        <w:t xml:space="preserve">lift</w:t>
      </w:r>
      <w:r>
        <w:t xml:space="preserve"> </w:t>
      </w:r>
      <w:r>
        <w:t xml:space="preserve">corrige esse viés ao normalizar pela popularidade do consequente, razão pela qual é adotado como critério de ranqueamento neste trabalho.</w:t>
      </w:r>
    </w:p>
    <w:bookmarkEnd w:id="16"/>
    <w:bookmarkEnd w:id="17"/>
    <w:bookmarkStart w:id="18" w:name="X7112940b37ac8428f51890b66b4ee3e0ad2ffab"/>
    <w:p>
      <w:pPr>
        <w:pStyle w:val="Heading2"/>
      </w:pPr>
      <w:r>
        <w:t xml:space="preserve">2.3 O problema do</w:t>
      </w:r>
      <w:r>
        <w:t xml:space="preserve"> </w:t>
      </w:r>
      <w:r>
        <w:rPr>
          <w:i/>
          <w:iCs/>
        </w:rPr>
        <w:t xml:space="preserve">cold start</w:t>
      </w:r>
      <w:r>
        <w:t xml:space="preserve"> </w:t>
      </w:r>
      <w:r>
        <w:t xml:space="preserve">e da esparsidade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cold start</w:t>
      </w:r>
      <w:r>
        <w:t xml:space="preserve"> </w:t>
      </w:r>
      <w:r>
        <w:t xml:space="preserve">designa a incapacidade de um sistema de recomendação gerar sugestões confiáveis quando há informação insuficiente — sobre um novo usuário, um novo item, ou todo um sistema recém-implantado (ADOMAVICIUS; TUZHILIN, 2005). É um problema endêmico da filtragem colaborativa: sem histórico de avaliações, não há base para calcular similaridades.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esparsidade</w:t>
      </w:r>
      <w:r>
        <w:t xml:space="preserve"> </w:t>
      </w:r>
      <w:r>
        <w:t xml:space="preserve">é fenômeno correlato e ainda mais estrutural. Em sistemas reais, a matriz usuário-item costuma ser preenchida em fração mínima — cada usuário interage com pequena parcela do catálogo —, o que enfraquece as estimativas de similaridade (SARWAR et al., 2001). Em cenários B2B de baixo volume, a esparsidade atinge nível extremo: poucos clientes, ausência de avaliações e dezenas — não milhões — de transações.</w:t>
      </w:r>
    </w:p>
    <w:p>
      <w:pPr>
        <w:pStyle w:val="BodyText"/>
      </w:pPr>
      <w:r>
        <w:t xml:space="preserve">É nesse ponto que as regras de associação revelam sua vantagem. Por operarem sobre os padrões de coocorrência do</w:t>
      </w:r>
      <w:r>
        <w:t xml:space="preserve"> </w:t>
      </w:r>
      <w:r>
        <w:rPr>
          <w:b/>
          <w:bCs/>
        </w:rPr>
        <w:t xml:space="preserve">conjunto</w:t>
      </w:r>
      <w:r>
        <w:t xml:space="preserve"> </w:t>
      </w:r>
      <w:r>
        <w:t xml:space="preserve">das transações, e não sobre perfis individuais de usuário, dispensam a matriz usuário-item densa e contornam parcela significativa do problema de esparsidade interusuário (AGGARWAL, 2016). Essa característica fundamenta a escolha metodológica central desta monografia, detalhada no Capítulo 3.</w:t>
      </w:r>
    </w:p>
    <w:bookmarkEnd w:id="18"/>
    <w:bookmarkStart w:id="19" w:name="comércio-b2b-e-venda-casada-cross-sell"/>
    <w:p>
      <w:pPr>
        <w:pStyle w:val="Heading2"/>
      </w:pPr>
      <w:r>
        <w:t xml:space="preserve">2.4 Comércio B2B e venda casada (cross-sell)</w:t>
      </w:r>
    </w:p>
    <w:p>
      <w:pPr>
        <w:pStyle w:val="FirstParagraph"/>
      </w:pPr>
      <w:r>
        <w:t xml:space="preserve">O comércio</w:t>
      </w:r>
      <w:r>
        <w:t xml:space="preserve"> </w:t>
      </w:r>
      <w:r>
        <w:rPr>
          <w:i/>
          <w:iCs/>
        </w:rPr>
        <w:t xml:space="preserve">business-to-business</w:t>
      </w:r>
      <w:r>
        <w:t xml:space="preserve"> </w:t>
      </w:r>
      <w:r>
        <w:t xml:space="preserve">(B2B) caracteriza-se por transações entre empresas — no caso deste trabalho, entre uma distribuidora e barbearias clientes. Distingue-se do B2C por relacionamentos de longo prazo, número reduzido de clientes, compras recorrentes e ausência das avaliações de produto típicas do varejo eletrônico.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venda casada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cross-sell</w:t>
      </w:r>
      <w:r>
        <w:t xml:space="preserve"> </w:t>
      </w:r>
      <w:r>
        <w:t xml:space="preserve">consiste em sugerir, no momento da compra, produtos complementares àquele que o cliente já adquire (SCHAFER; KONSTAN; RIEDL, 2001). É exatamente o tipo de recomendação que as regras de associação produzem: a descoberta de que clientes que compram o produto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tendem a comprar também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traduz-se diretamente em uma sugestão de</w:t>
      </w:r>
      <w:r>
        <w:t xml:space="preserve"> </w:t>
      </w:r>
      <w:r>
        <w:rPr>
          <w:i/>
          <w:iCs/>
        </w:rPr>
        <w:t xml:space="preserve">cross-sell</w:t>
      </w:r>
      <w:r>
        <w:t xml:space="preserve">. Linden, Smith e York (2003) demonstraram, no contexto da Amazon, o impacto econômico dessa estratégia no varejo de massa; este trabalho investiga sua transposição para o B2B de pequeno porte, onde o conhecimento sobre quais produtos vendem juntos hoje reside apenas na intuição da equipe de vendas.</w:t>
      </w:r>
    </w:p>
    <w:bookmarkEnd w:id="19"/>
    <w:bookmarkStart w:id="20" w:name="X707ad28dad0c6a245cb98d4240090255e831f6d"/>
    <w:p>
      <w:pPr>
        <w:pStyle w:val="Heading2"/>
      </w:pPr>
      <w:r>
        <w:t xml:space="preserve">2.5 Métricas de avaliação: Precision, Recall e F1-Score</w:t>
      </w:r>
    </w:p>
    <w:p>
      <w:pPr>
        <w:pStyle w:val="FirstParagraph"/>
      </w:pPr>
      <w:r>
        <w:t xml:space="preserve">Para além das métricas internas das regras (suporte, confiança,</w:t>
      </w:r>
      <w:r>
        <w:t xml:space="preserve"> </w:t>
      </w:r>
      <w:r>
        <w:rPr>
          <w:i/>
          <w:iCs/>
        </w:rPr>
        <w:t xml:space="preserve">lift</w:t>
      </w:r>
      <w:r>
        <w:t xml:space="preserve">), é necessário avaliar a</w:t>
      </w:r>
      <w:r>
        <w:t xml:space="preserve"> </w:t>
      </w:r>
      <w:r>
        <w:rPr>
          <w:b/>
          <w:bCs/>
        </w:rPr>
        <w:t xml:space="preserve">qualidade preditiva</w:t>
      </w:r>
      <w:r>
        <w:t xml:space="preserve"> </w:t>
      </w:r>
      <w:r>
        <w:t xml:space="preserve">das recomendações geradas. Adotam-se, para tanto, as métricas clássicas de recuperação de informação, formalizadas por Powers (2011).</w:t>
      </w:r>
    </w:p>
    <w:p>
      <w:pPr>
        <w:pStyle w:val="BodyText"/>
      </w:pPr>
      <w:r>
        <w:t xml:space="preserve">Dado um conjunto de recomendações, classificam-se os resultados em verdadeiros positivos (VP — recomendações corretas), falsos positivos (FP — recomendações incorretas) e falsos negativos (FN — itens relevantes não recomendados). Define-se: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t>P</m:t>
              </m:r>
            </m:num>
            <m:den>
              <m:r>
                <m:t>V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t>  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t>P</m:t>
              </m:r>
            </m:num>
            <m:den>
              <m:r>
                <m:t>V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(precisão) responde: das recomendações feitas, quantas estavam corretas? O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(revocação) responde: dos itens que deveriam ser recomendados, quantos o sistema acertou? Há tensão entre as duas: maximizar uma tende a degradar a outra.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F1-Score</w:t>
      </w:r>
      <w:r>
        <w:t xml:space="preserve"> </w:t>
      </w:r>
      <w:r>
        <w:t xml:space="preserve">equilibra ambas por meio da média harmônica: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pStyle w:val="FirstParagraph"/>
      </w:pPr>
      <w:r>
        <w:t xml:space="preserve">A média harmônica penaliza desequilíbrios: o F1 só é alto quando Precision e Recall são, ambos, razoavelmente altos. Powers (2011) alerta, contudo, que essas métricas devem ser interpretadas à luz do tamanho e da composição do conjunto de teste — ressalva especialmente pertinente a este trabalho, cujo conjunto de validação é reduzido e contém poucas transações multi-item, conforme discutido no Capítulo 5.</w:t>
      </w:r>
    </w:p>
    <w:bookmarkEnd w:id="20"/>
    <w:bookmarkStart w:id="21" w:name="trabalhos-relacionados"/>
    <w:p>
      <w:pPr>
        <w:pStyle w:val="Heading2"/>
      </w:pPr>
      <w:r>
        <w:t xml:space="preserve">2.6 Trabalhos relacionados</w:t>
      </w:r>
    </w:p>
    <w:p>
      <w:pPr>
        <w:pStyle w:val="FirstParagraph"/>
      </w:pPr>
      <w:r>
        <w:t xml:space="preserve">A aplicação de regras de associação a dados transacionais de varejo possui tradição consolidada na literatura nacional e internacional. Schonhorst (2010) aplicou mineração de regras de associação à modelagem de dados transacionais de um supermercado brasileiro, demonstrando a viabilidade da técnica para descoberta de padrões de compra em varejo de médio porte — paralelo metodológico direto com o presente trabalho, ainda que em contexto B2C.</w:t>
      </w:r>
    </w:p>
    <w:p>
      <w:pPr>
        <w:pStyle w:val="BodyText"/>
      </w:pPr>
      <w:r>
        <w:t xml:space="preserve">Mais recentemente, Moraes (2023) aplicou</w:t>
      </w:r>
      <w:r>
        <w:t xml:space="preserve"> </w:t>
      </w:r>
      <w:r>
        <w:rPr>
          <w:i/>
          <w:iCs/>
        </w:rPr>
        <w:t xml:space="preserve">Market Basket Analysis</w:t>
      </w:r>
      <w:r>
        <w:t xml:space="preserve"> </w:t>
      </w:r>
      <w:r>
        <w:t xml:space="preserve">a um sistema de recomendação adaptável para canal digital e lojas físicas de uma grande rede varejista, em cenário de</w:t>
      </w:r>
      <w:r>
        <w:t xml:space="preserve"> </w:t>
      </w:r>
      <w:r>
        <w:rPr>
          <w:i/>
          <w:iCs/>
        </w:rPr>
        <w:t xml:space="preserve">Big Data</w:t>
      </w:r>
      <w:r>
        <w:t xml:space="preserve"> </w:t>
      </w:r>
      <w:r>
        <w:t xml:space="preserve">com processamento distribuído. O trabalho reporta Precision de 22,53% no canal digital e 31,28% nas lojas físicas (dezembro de 2023). Esses resultados oferecem um</w:t>
      </w:r>
      <w:r>
        <w:t xml:space="preserve"> </w:t>
      </w:r>
      <w:r>
        <w:rPr>
          <w:b/>
          <w:bCs/>
        </w:rPr>
        <w:t xml:space="preserve">contraponto de escala</w:t>
      </w:r>
      <w:r>
        <w:t xml:space="preserve"> </w:t>
      </w:r>
      <w:r>
        <w:t xml:space="preserve">elucidativo: enquanto Moraes (2023) endereça os desafios de volume massivo de dados, esta monografia investiga o extremo oposto — a aplicação de MBA sob esparsidade severa, em um B2B de baixo volume. A comparação também contextualiza as métricas próprias: valores moderados de Precision são resultado esperado na literatura de MBA,</w:t>
      </w:r>
      <w:r>
        <w:t xml:space="preserve"> </w:t>
      </w:r>
      <w:r>
        <w:rPr>
          <w:b/>
          <w:bCs/>
        </w:rPr>
        <w:t xml:space="preserve">mesmo diante de dados abundantes</w:t>
      </w:r>
      <w:r>
        <w:t xml:space="preserve">, o que ajuda a calibrar as expectativas sobre o desempenho do sistema proposto (discussão retomada na Seção 5.4).</w:t>
      </w:r>
    </w:p>
    <w:p>
      <w:pPr>
        <w:pStyle w:val="BodyText"/>
      </w:pPr>
      <w:r>
        <w:t xml:space="preserve">No plano internacional, Schafer, Konstan e Riedl (2001) sistematizam as aplicações de recomendação em comércio eletrônico, situando o</w:t>
      </w:r>
      <w:r>
        <w:t xml:space="preserve"> </w:t>
      </w:r>
      <w:r>
        <w:rPr>
          <w:i/>
          <w:iCs/>
        </w:rPr>
        <w:t xml:space="preserve">cross-sell</w:t>
      </w:r>
      <w:r>
        <w:t xml:space="preserve"> </w:t>
      </w:r>
      <w:r>
        <w:t xml:space="preserve">baseado em coocorrência entre as estratégias clássicas, ao passo que Linden, Smith e York (2003) documentam o caso emblemático da Amazon. O conjunto desses trabalhos evidencia a maturidade da técnica em cenários de grande volume e, por contraste, expõe a lacuna que esta monografia se propõe a investigar: o desempenho das regras de associação em distribuição B2B de baixo volume — recorte ainda pouco explorado na literatura.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2026-06-18T18:27:01Z</dcterms:created>
  <dcterms:modified xsi:type="dcterms:W3CDTF">2026-06-18T18:27:01Z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