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etodologia"/>
    <w:p>
      <w:pPr>
        <w:pStyle w:val="Heading1"/>
      </w:pPr>
      <w:r>
        <w:t xml:space="preserve">3 METODOLOGIA</w:t>
      </w:r>
    </w:p>
    <w:p>
      <w:pPr>
        <w:pStyle w:val="FirstParagraph"/>
      </w:pPr>
      <w:r>
        <w:t xml:space="preserve">Este capítulo descreve o percurso metodológico adotado para desenvolver e avaliar o sistema de recomendação proposto. Apresenta-se a classificação da pesquisa (Seção 3.1), o método de</w:t>
      </w:r>
      <w:r>
        <w:t xml:space="preserve"> </w:t>
      </w:r>
      <w:r>
        <w:rPr>
          <w:i/>
          <w:iCs/>
        </w:rPr>
        <w:t xml:space="preserve">Design Science Research</w:t>
      </w:r>
      <w:r>
        <w:t xml:space="preserve"> </w:t>
      </w:r>
      <w:r>
        <w:t xml:space="preserve">que estrutura o trabalho (Seção 3.2), a origem e a coleta dos dados (Seção 3.3), as etapas de pré-processamento (Seção 3.4), as ferramentas e tecnologias empregadas (Seção 3.5) e, por fim, o protocolo de validação das recomendações (Seção 3.6).</w:t>
      </w:r>
    </w:p>
    <w:bookmarkStart w:id="9" w:name="classificação-da-pesquisa"/>
    <w:p>
      <w:pPr>
        <w:pStyle w:val="Heading2"/>
      </w:pPr>
      <w:r>
        <w:t xml:space="preserve">3.1 Classificação da pesquisa</w:t>
      </w:r>
    </w:p>
    <w:p>
      <w:pPr>
        <w:pStyle w:val="FirstParagraph"/>
      </w:pPr>
      <w:r>
        <w:t xml:space="preserve">Quanto à natureza, esta pesquisa classifica-se como</w:t>
      </w:r>
      <w:r>
        <w:t xml:space="preserve"> </w:t>
      </w:r>
      <w:r>
        <w:rPr>
          <w:b/>
          <w:bCs/>
        </w:rPr>
        <w:t xml:space="preserve">aplicada</w:t>
      </w:r>
      <w:r>
        <w:t xml:space="preserve">, pois visa gerar conhecimento dirigido à solução de um problema concreto e específico — o apoio à decisão de venda casada em uma distribuidora B2B real (GIL, 2017). Quanto à abordagem, é predominantemente</w:t>
      </w:r>
      <w:r>
        <w:t xml:space="preserve"> </w:t>
      </w:r>
      <w:r>
        <w:rPr>
          <w:b/>
          <w:bCs/>
        </w:rPr>
        <w:t xml:space="preserve">quantitativa</w:t>
      </w:r>
      <w:r>
        <w:t xml:space="preserve">: tanto a extração das regras de associação quanto a avaliação das recomendações apoiam-se em métricas numéricas (</w:t>
      </w:r>
      <w:r>
        <w:rPr>
          <w:i/>
          <w:iCs/>
        </w:rPr>
        <w:t xml:space="preserve">support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lift</w:t>
      </w:r>
      <w:r>
        <w:t xml:space="preserve">,</w:t>
      </w:r>
      <w:r>
        <w:t xml:space="preserve"> </w:t>
      </w:r>
      <w:r>
        <w:rPr>
          <w:i/>
          <w:iCs/>
        </w:rPr>
        <w:t xml:space="preserve">Precision</w:t>
      </w:r>
      <w:r>
        <w:t xml:space="preserve">,</w:t>
      </w:r>
      <w:r>
        <w:t xml:space="preserve"> </w:t>
      </w:r>
      <w:r>
        <w:rPr>
          <w:i/>
          <w:iCs/>
        </w:rPr>
        <w:t xml:space="preserve">Recall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F1-Score</w:t>
      </w:r>
      <w:r>
        <w:t xml:space="preserve">).</w:t>
      </w:r>
    </w:p>
    <w:p>
      <w:pPr>
        <w:pStyle w:val="BodyText"/>
      </w:pPr>
      <w:r>
        <w:t xml:space="preserve">Quanto aos objetivos, a pesquisa é</w:t>
      </w:r>
      <w:r>
        <w:t xml:space="preserve"> </w:t>
      </w:r>
      <w:r>
        <w:rPr>
          <w:b/>
          <w:bCs/>
        </w:rPr>
        <w:t xml:space="preserve">exploratória e descritiva</w:t>
      </w:r>
      <w:r>
        <w:t xml:space="preserve">, na medida em que investiga a viabilidade de uma técnica em um cenário pouco estudado — o B2B de baixo volume transacional — e descreve os padrões de coocorrência encontrados nos dados. Quanto aos procedimentos técnicos, adota-se o</w:t>
      </w:r>
      <w:r>
        <w:t xml:space="preserve"> </w:t>
      </w:r>
      <w:r>
        <w:rPr>
          <w:b/>
          <w:bCs/>
        </w:rPr>
        <w:t xml:space="preserve">estudo de caso único</w:t>
      </w:r>
      <w:r>
        <w:t xml:space="preserve"> </w:t>
      </w:r>
      <w:r>
        <w:t xml:space="preserve">(YIN, 2015), tendo a Quasar Barber como unidade de análise, combinado ao desenvolvimento de um artefato de software conforme o paradigma de</w:t>
      </w:r>
      <w:r>
        <w:t xml:space="preserve"> </w:t>
      </w:r>
      <w:r>
        <w:rPr>
          <w:i/>
          <w:iCs/>
        </w:rPr>
        <w:t xml:space="preserve">Design Science Research</w:t>
      </w:r>
      <w:r>
        <w:t xml:space="preserve"> </w:t>
      </w:r>
      <w:r>
        <w:t xml:space="preserve">(MARCONI; LAKATOS, 2017; HEVNER et al., 2004).</w:t>
      </w:r>
    </w:p>
    <w:bookmarkEnd w:id="9"/>
    <w:bookmarkStart w:id="10" w:name="design-science-research-como-método"/>
    <w:p>
      <w:pPr>
        <w:pStyle w:val="Heading2"/>
      </w:pPr>
      <w:r>
        <w:t xml:space="preserve">3.2 Design Science Research como método</w:t>
      </w:r>
    </w:p>
    <w:p>
      <w:pPr>
        <w:pStyle w:val="FirstParagraph"/>
      </w:pPr>
      <w:r>
        <w:t xml:space="preserve">Diferentemente das ciências naturais, que buscam explicar fenômenos existentes, a</w:t>
      </w:r>
      <w:r>
        <w:t xml:space="preserve"> </w:t>
      </w:r>
      <w:r>
        <w:rPr>
          <w:i/>
          <w:iCs/>
        </w:rPr>
        <w:t xml:space="preserve">Design Science Research</w:t>
      </w:r>
      <w:r>
        <w:t xml:space="preserve"> </w:t>
      </w:r>
      <w:r>
        <w:t xml:space="preserve">(DSR) orienta-se à construção e à avaliação de artefatos que resolvem problemas reais, produzindo conhecimento por meio do próprio ato de projetar (HEVNER et al., 2004). Por se tratar do desenvolvimento de um sistema computacional destinado a uma necessidade organizacional concreta, a DSR mostra-se o método mais aderente a este trabalho.</w:t>
      </w:r>
    </w:p>
    <w:p>
      <w:pPr>
        <w:pStyle w:val="BodyText"/>
      </w:pPr>
      <w:r>
        <w:t xml:space="preserve">Adota-se a operacionalização proposta por Peffers et al. (2007), que organiza a DSR em seis atividades. O Quadro 1 relaciona cada atividade à sua concretização nesta monografia.</w:t>
      </w:r>
    </w:p>
    <w:p>
      <w:pPr>
        <w:pStyle w:val="BodyText"/>
      </w:pPr>
      <w:r>
        <w:rPr>
          <w:b/>
          <w:bCs/>
        </w:rPr>
        <w:t xml:space="preserve">Quadro 1 — Atividades da DSR aplicadas ao trabalho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 (PEFFERS et al., 2007)</w:t>
            </w:r>
          </w:p>
        </w:tc>
        <w:tc>
          <w:tcPr/>
          <w:p>
            <w:pPr>
              <w:pStyle w:val="Compact"/>
            </w:pPr>
            <w:r>
              <w:t xml:space="preserve">Concretização neste trabalho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Identificação do problema e motivação</w:t>
            </w:r>
          </w:p>
        </w:tc>
        <w:tc>
          <w:tcPr/>
          <w:p>
            <w:pPr>
              <w:pStyle w:val="Compact"/>
            </w:pPr>
            <w:r>
              <w:t xml:space="preserve">Decisões de</w:t>
            </w:r>
            <w:r>
              <w:t xml:space="preserve"> </w:t>
            </w:r>
            <w:r>
              <w:rPr>
                <w:i/>
                <w:iCs/>
              </w:rPr>
              <w:t xml:space="preserve">cross-sell</w:t>
            </w:r>
            <w:r>
              <w:t xml:space="preserve"> </w:t>
            </w:r>
            <w:r>
              <w:t xml:space="preserve">tomadas de forma intuitiva em distribuidora B2B de baixo volume (Capítulo 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Definição dos objetivos da solução</w:t>
            </w:r>
          </w:p>
        </w:tc>
        <w:tc>
          <w:tcPr/>
          <w:p>
            <w:pPr>
              <w:pStyle w:val="Compact"/>
            </w:pPr>
            <w:r>
              <w:t xml:space="preserve">Gerar recomendações Top-N estatisticamente relevantes a partir do histórico transacional (Seção 1.4).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Projeto e desenvolvimento</w:t>
            </w:r>
          </w:p>
        </w:tc>
        <w:tc>
          <w:tcPr/>
          <w:p>
            <w:pPr>
              <w:pStyle w:val="Compact"/>
            </w:pPr>
            <w:r>
              <w:t xml:space="preserve">Sistema completo — banco de dados, algoritmo de regras de associação, API REST e interface web (Capítulo 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Demonstração</w:t>
            </w:r>
          </w:p>
        </w:tc>
        <w:tc>
          <w:tcPr/>
          <w:p>
            <w:pPr>
              <w:pStyle w:val="Compact"/>
            </w:pPr>
            <w:r>
              <w:t xml:space="preserve">Execução do sistema sobre os dados reais de vendas de 2026 da Quasar Barber.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Avaliação</w:t>
            </w:r>
          </w:p>
        </w:tc>
        <w:tc>
          <w:tcPr/>
          <w:p>
            <w:pPr>
              <w:pStyle w:val="Compact"/>
            </w:pPr>
            <w:r>
              <w:t xml:space="preserve">Cálculo de Precision, Recall e F1-Score por validação cruzada, além da análise das regras por</w:t>
            </w:r>
            <w:r>
              <w:t xml:space="preserve"> </w:t>
            </w:r>
            <w:r>
              <w:rPr>
                <w:i/>
                <w:iCs/>
              </w:rPr>
              <w:t xml:space="preserve">lift</w:t>
            </w:r>
            <w:r>
              <w:t xml:space="preserve"> </w:t>
            </w:r>
            <w:r>
              <w:t xml:space="preserve">(Capítulo 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Comunicação</w:t>
            </w:r>
          </w:p>
        </w:tc>
        <w:tc>
          <w:tcPr/>
          <w:p>
            <w:pPr>
              <w:pStyle w:val="Compact"/>
            </w:pPr>
            <w:r>
              <w:t xml:space="preserve">Esta monografia e a sua defesa perante a banca.</w:t>
            </w:r>
          </w:p>
        </w:tc>
      </w:tr>
    </w:tbl>
    <w:p>
      <w:pPr>
        <w:pStyle w:val="BodyText"/>
      </w:pPr>
      <w:r>
        <w:t xml:space="preserve">Fonte: elaborado pelo autor (2026).</w:t>
      </w:r>
    </w:p>
    <w:bookmarkEnd w:id="10"/>
    <w:bookmarkStart w:id="11" w:name="coleta-e-origem-dos-dados"/>
    <w:p>
      <w:pPr>
        <w:pStyle w:val="Heading2"/>
      </w:pPr>
      <w:r>
        <w:t xml:space="preserve">3.3 Coleta e origem dos dados</w:t>
      </w:r>
    </w:p>
    <w:p>
      <w:pPr>
        <w:pStyle w:val="FirstParagraph"/>
      </w:pPr>
      <w:r>
        <w:t xml:space="preserve">Os dados utilizados são</w:t>
      </w:r>
      <w:r>
        <w:t xml:space="preserve"> </w:t>
      </w:r>
      <w:r>
        <w:rPr>
          <w:b/>
          <w:bCs/>
        </w:rPr>
        <w:t xml:space="preserve">transações reais de venda</w:t>
      </w:r>
      <w:r>
        <w:t xml:space="preserve"> </w:t>
      </w:r>
      <w:r>
        <w:t xml:space="preserve">da Quasar Barber, distribuidora de produtos para barbearias situada em Codó, Maranhão. O conjunto corresponde aos pedidos registrados entre</w:t>
      </w:r>
      <w:r>
        <w:t xml:space="preserve"> </w:t>
      </w:r>
      <w:r>
        <w:rPr>
          <w:b/>
          <w:bCs/>
        </w:rPr>
        <w:t xml:space="preserve">29 de abril e 18 de junho de 2026</w:t>
      </w:r>
      <w:r>
        <w:t xml:space="preserve">, exportados do sistema de gestão da empresa para um arquivo no formato CSV (</w:t>
      </w:r>
      <w:r>
        <w:rPr>
          <w:i/>
          <w:iCs/>
        </w:rPr>
        <w:t xml:space="preserve">comma-separated values</w:t>
      </w:r>
      <w:r>
        <w:t xml:space="preserve">, com ponto e vírgula como separador).</w:t>
      </w:r>
    </w:p>
    <w:p>
      <w:pPr>
        <w:pStyle w:val="BodyText"/>
      </w:pPr>
      <w:r>
        <w:t xml:space="preserve">Cada linha do arquivo bruto representa um</w:t>
      </w:r>
      <w:r>
        <w:t xml:space="preserve"> </w:t>
      </w:r>
      <w:r>
        <w:rPr>
          <w:b/>
          <w:bCs/>
        </w:rPr>
        <w:t xml:space="preserve">item de pedido</w:t>
      </w:r>
      <w:r>
        <w:t xml:space="preserve"> </w:t>
      </w:r>
      <w:r>
        <w:t xml:space="preserve">e contém os campos: número do pedido, data, cliente, produto, quantidade e valor unitário. Pedidos com mais de um produto ocupam, portanto, múltiplas linhas que compartilham o mesmo número de pedido. Essa estrutura é precisamente a exigida pela</w:t>
      </w:r>
      <w:r>
        <w:t xml:space="preserve"> </w:t>
      </w:r>
      <w:r>
        <w:rPr>
          <w:i/>
          <w:iCs/>
        </w:rPr>
        <w:t xml:space="preserve">Market Basket Analysis</w:t>
      </w:r>
      <w:r>
        <w:t xml:space="preserve">, em que cada pedido constitui uma transação (cesta) e os produtos nela contidos formam o itemset observado (AGRAWAL; IMIELIŃSKI; SWAMI, 1993).</w:t>
      </w:r>
    </w:p>
    <w:p>
      <w:pPr>
        <w:pStyle w:val="BodyText"/>
      </w:pPr>
      <w:r>
        <w:t xml:space="preserve">Após o pré-processamento descrito na Seção 3.4, o conjunto final é composto por</w:t>
      </w:r>
      <w:r>
        <w:t xml:space="preserve"> </w:t>
      </w:r>
      <w:r>
        <w:rPr>
          <w:b/>
          <w:bCs/>
        </w:rPr>
        <w:t xml:space="preserve">30 transações</w:t>
      </w:r>
      <w:r>
        <w:t xml:space="preserve">,</w:t>
      </w:r>
      <w:r>
        <w:t xml:space="preserve"> </w:t>
      </w:r>
      <w:r>
        <w:rPr>
          <w:b/>
          <w:bCs/>
        </w:rPr>
        <w:t xml:space="preserve">26 clientes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29 produtos únicos</w:t>
      </w:r>
      <w:r>
        <w:t xml:space="preserve">, totalizando 52 itens de venda. Desse total,</w:t>
      </w:r>
      <w:r>
        <w:t xml:space="preserve"> </w:t>
      </w:r>
      <w:r>
        <w:rPr>
          <w:b/>
          <w:bCs/>
        </w:rPr>
        <w:t xml:space="preserve">14 transações contêm dois ou mais produtos</w:t>
      </w:r>
      <w:r>
        <w:t xml:space="preserve"> </w:t>
      </w:r>
      <w:r>
        <w:t xml:space="preserve">— são essas as cestas efetivamente úteis à descoberta de regras de coocorrência. As demais, de item único, contribuem para o cálculo de suporte individual dos produtos, mas não geram regras por si sós. A modéstia desse volume é característica intrínseca do cenário B2B investigado e tem implicações diretas sobre a validação, discutidas na Seção 3.6 e no Capítulo 5.</w:t>
      </w:r>
    </w:p>
    <w:p>
      <w:pPr>
        <w:pStyle w:val="BodyText"/>
      </w:pPr>
      <w:r>
        <w:t xml:space="preserve">Por se tratar de dados da própria empresa do autor, utilizados de forma agregada e sem exposição de informações pessoais sensíveis de consumidores finais, não houve necessidade de submissão a comitê de ética; os nomes de clientes (pessoas jurídicas e compradores) são empregados apenas como identificadores de transação no processamento.</w:t>
      </w:r>
    </w:p>
    <w:bookmarkEnd w:id="11"/>
    <w:bookmarkStart w:id="12" w:name="pré-processamento-dos-dados"/>
    <w:p>
      <w:pPr>
        <w:pStyle w:val="Heading2"/>
      </w:pPr>
      <w:r>
        <w:t xml:space="preserve">3.4 Pré-processamento dos dados</w:t>
      </w:r>
    </w:p>
    <w:p>
      <w:pPr>
        <w:pStyle w:val="FirstParagraph"/>
      </w:pPr>
      <w:r>
        <w:t xml:space="preserve">O arquivo bruto exportado não está imediatamente pronto para a mineração: requer limpeza e transformação. As etapas de pré-processamento, implementadas em um</w:t>
      </w:r>
      <w:r>
        <w:t xml:space="preserve"> </w:t>
      </w:r>
      <w:r>
        <w:rPr>
          <w:i/>
          <w:iCs/>
        </w:rPr>
        <w:t xml:space="preserve">script</w:t>
      </w:r>
      <w:r>
        <w:t xml:space="preserve"> </w:t>
      </w:r>
      <w:r>
        <w:t xml:space="preserve">de carga (</w:t>
      </w:r>
      <w:r>
        <w:rPr>
          <w:rStyle w:val="VerbatimChar"/>
        </w:rPr>
        <w:t xml:space="preserve">seed-csv.js</w:t>
      </w:r>
      <w:r>
        <w:t xml:space="preserve">, detalhado na Seção 4.2), são as seguintes: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Normalização de codificação.</w:t>
      </w:r>
      <w:r>
        <w:t xml:space="preserve"> </w:t>
      </w:r>
      <w:r>
        <w:t xml:space="preserve">O arquivo de origem apresentava codificação inconsistente (mistura de</w:t>
      </w:r>
      <w:r>
        <w:t xml:space="preserve"> </w:t>
      </w:r>
      <w:r>
        <w:rPr>
          <w:i/>
          <w:iCs/>
        </w:rPr>
        <w:t xml:space="preserve">Latin-1</w:t>
      </w:r>
      <w:r>
        <w:t xml:space="preserve"> </w:t>
      </w:r>
      <w:r>
        <w:t xml:space="preserve">e UTF-8), o que corrompia caracteres acentuados. Padronizou-se todo o texto em UTF-8, com transliteração dos acentos para ASCII a fim de garantir uniformidade na comparação de nomes de produtos.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Validação de integridade transacional.</w:t>
      </w:r>
      <w:r>
        <w:t xml:space="preserve"> </w:t>
      </w:r>
      <w:r>
        <w:t xml:space="preserve">Verificou-se que cada número de pedido correspondesse a um único cliente e a uma única data. Inconsistências em que um mesmo número agregava clientes distintos — que produziriam cestas artificiais e regras espúrias — foram corrigidas com a separação dos pedidos.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Agrupamento por pedido.</w:t>
      </w:r>
      <w:r>
        <w:t xml:space="preserve"> </w:t>
      </w:r>
      <w:r>
        <w:t xml:space="preserve">As múltiplas linhas de item foram agrupadas pelo número do pedido, reconstituindo cada transação como um conjunto de produtos (a cesta).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Deduplicação intratransação.</w:t>
      </w:r>
      <w:r>
        <w:t xml:space="preserve"> </w:t>
      </w:r>
      <w:r>
        <w:t xml:space="preserve">Quando um mesmo produto aparecia repetido na mesma cesta, as ocorrências foram consolidadas, somando-se as quantidades, de modo que cada produto figure uma única vez por transação — condição necessária para o cálculo correto do suporte.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Inferência de categoria.</w:t>
      </w:r>
      <w:r>
        <w:t xml:space="preserve"> </w:t>
      </w:r>
      <w:r>
        <w:t xml:space="preserve">Para fins de análise e exibição, cada produto foi classificado em uma de três categorias (</w:t>
      </w:r>
      <w:r>
        <w:rPr>
          <w:i/>
          <w:iCs/>
        </w:rPr>
        <w:t xml:space="preserve">Barba</w:t>
      </w:r>
      <w:r>
        <w:t xml:space="preserve">,</w:t>
      </w:r>
      <w:r>
        <w:t xml:space="preserve"> </w:t>
      </w:r>
      <w:r>
        <w:rPr>
          <w:i/>
          <w:iCs/>
        </w:rPr>
        <w:t xml:space="preserve">Cabelo</w:t>
      </w:r>
      <w:r>
        <w:t xml:space="preserve"> </w:t>
      </w:r>
      <w:r>
        <w:t xml:space="preserve">ou</w:t>
      </w:r>
      <w:r>
        <w:t xml:space="preserve"> </w:t>
      </w:r>
      <w:r>
        <w:rPr>
          <w:i/>
          <w:iCs/>
        </w:rPr>
        <w:t xml:space="preserve">Acessórios</w:t>
      </w:r>
      <w:r>
        <w:t xml:space="preserve">) por meio de regras heurísticas sobre palavras-chave do nome (por exemplo, a presença de</w:t>
      </w:r>
      <w:r>
        <w:t xml:space="preserve"> </w:t>
      </w:r>
      <w:r>
        <w:t xml:space="preserve">“barba”</w:t>
      </w:r>
      <w:r>
        <w:t xml:space="preserve">,</w:t>
      </w:r>
      <w:r>
        <w:t xml:space="preserve"> </w:t>
      </w:r>
      <w:r>
        <w:t xml:space="preserve">“balm”</w:t>
      </w:r>
      <w:r>
        <w:t xml:space="preserve"> </w:t>
      </w:r>
      <w:r>
        <w:t xml:space="preserve">ou</w:t>
      </w:r>
      <w:r>
        <w:t xml:space="preserve"> </w:t>
      </w:r>
      <w:r>
        <w:t xml:space="preserve">“after shave”</w:t>
      </w:r>
      <w:r>
        <w:t xml:space="preserve"> </w:t>
      </w:r>
      <w:r>
        <w:t xml:space="preserve">indica a categoria</w:t>
      </w:r>
      <w:r>
        <w:t xml:space="preserve"> </w:t>
      </w:r>
      <w:r>
        <w:rPr>
          <w:i/>
          <w:iCs/>
        </w:rPr>
        <w:t xml:space="preserve">Barba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Conversão de formatos.</w:t>
      </w:r>
      <w:r>
        <w:t xml:space="preserve"> </w:t>
      </w:r>
      <w:r>
        <w:t xml:space="preserve">As datas, originalmente no padrão brasileiro</w:t>
      </w:r>
      <w:r>
        <w:t xml:space="preserve"> </w:t>
      </w:r>
      <w:r>
        <w:rPr>
          <w:rStyle w:val="VerbatimChar"/>
        </w:rPr>
        <w:t xml:space="preserve">DD/MM/AAAA</w:t>
      </w:r>
      <w:r>
        <w:t xml:space="preserve">, foram convertidas para o padrão ISO</w:t>
      </w:r>
      <w:r>
        <w:t xml:space="preserve"> </w:t>
      </w:r>
      <w:r>
        <w:rPr>
          <w:rStyle w:val="VerbatimChar"/>
        </w:rPr>
        <w:t xml:space="preserve">AAAA-MM-DD</w:t>
      </w:r>
      <w:r>
        <w:t xml:space="preserve"> </w:t>
      </w:r>
      <w:r>
        <w:t xml:space="preserve">exigido pelo banco de dados, e os valores monetários foram normalizados para ponto decimal.</w:t>
      </w:r>
    </w:p>
    <w:p>
      <w:pPr>
        <w:pStyle w:val="FirstParagraph"/>
      </w:pPr>
      <w:r>
        <w:t xml:space="preserve">O produto dessas etapas é um conjunto de transações limpo e consistente, carregado nas tabelas relacionais descritas no Capítulo 4.</w:t>
      </w:r>
    </w:p>
    <w:bookmarkEnd w:id="12"/>
    <w:bookmarkStart w:id="13" w:name="ferramentas-e-tecnologias"/>
    <w:p>
      <w:pPr>
        <w:pStyle w:val="Heading2"/>
      </w:pPr>
      <w:r>
        <w:t xml:space="preserve">3.5 Ferramentas e tecnologias</w:t>
      </w:r>
    </w:p>
    <w:p>
      <w:pPr>
        <w:pStyle w:val="FirstParagraph"/>
      </w:pPr>
      <w:r>
        <w:t xml:space="preserve">A seleção tecnológica privilegiou ferramentas gratuitas ou de baixo custo, reprodutíveis e adequadas ao porte de uma pequena empresa, em coerência com a justificativa técnica do trabalho (Seção 1.5). O Quadro 2 sintetiza a</w:t>
      </w:r>
      <w:r>
        <w:t xml:space="preserve"> </w:t>
      </w:r>
      <w:r>
        <w:rPr>
          <w:i/>
          <w:iCs/>
        </w:rPr>
        <w:t xml:space="preserve">stack</w:t>
      </w:r>
      <w:r>
        <w:t xml:space="preserve"> </w:t>
      </w:r>
      <w:r>
        <w:t xml:space="preserve">adotada.</w:t>
      </w:r>
    </w:p>
    <w:p>
      <w:pPr>
        <w:pStyle w:val="BodyText"/>
      </w:pPr>
      <w:r>
        <w:rPr>
          <w:b/>
          <w:bCs/>
        </w:rPr>
        <w:t xml:space="preserve">Quadro 2 — Ferramentas e tecnologias empregadas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Linguagem</w:t>
            </w:r>
          </w:p>
        </w:tc>
        <w:tc>
          <w:tcPr/>
          <w:p>
            <w:pPr>
              <w:pStyle w:val="Compact"/>
            </w:pPr>
            <w:r>
              <w:t xml:space="preserve">JavaScript (Node.js 18)</w:t>
            </w:r>
          </w:p>
        </w:tc>
        <w:tc>
          <w:tcPr/>
          <w:p>
            <w:pPr>
              <w:pStyle w:val="Compact"/>
            </w:pPr>
            <w:r>
              <w:t xml:space="preserve">Lógica do</w:t>
            </w:r>
            <w:r>
              <w:t xml:space="preserve"> </w:t>
            </w:r>
            <w:r>
              <w:rPr>
                <w:i/>
                <w:iCs/>
              </w:rPr>
              <w:t xml:space="preserve">back-end</w:t>
            </w:r>
            <w:r>
              <w:t xml:space="preserve"> </w:t>
            </w:r>
            <w:r>
              <w:t xml:space="preserve">e do algoritmo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web</w:t>
            </w:r>
          </w:p>
        </w:tc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Roteamento e exposição da API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</w:pPr>
            <w:r>
              <w:t xml:space="preserve">PostgreSQL via Supabase</w:t>
            </w:r>
          </w:p>
        </w:tc>
        <w:tc>
          <w:tcPr/>
          <w:p>
            <w:pPr>
              <w:pStyle w:val="Compact"/>
            </w:pPr>
            <w:r>
              <w:t xml:space="preserve">Persistência das transações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 a dados</w:t>
            </w:r>
          </w:p>
        </w:tc>
        <w:tc>
          <w:tcPr/>
          <w:p>
            <w:pPr>
              <w:pStyle w:val="Compact"/>
            </w:pPr>
            <w:r>
              <w:t xml:space="preserve">Supabase JS / PostgREST</w:t>
            </w:r>
          </w:p>
        </w:tc>
        <w:tc>
          <w:tcPr/>
          <w:p>
            <w:pPr>
              <w:pStyle w:val="Compact"/>
            </w:pPr>
            <w:r>
              <w:t xml:space="preserve">Consultas via API REST sobre o banco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(opcional)</w:t>
            </w:r>
          </w:p>
        </w:tc>
        <w:tc>
          <w:tcPr/>
          <w:p>
            <w:pPr>
              <w:pStyle w:val="Compact"/>
            </w:pPr>
            <w:r>
              <w:t xml:space="preserve">Memoização das regras calculadas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</w:t>
            </w:r>
          </w:p>
        </w:tc>
        <w:tc>
          <w:tcPr/>
          <w:p>
            <w:pPr>
              <w:pStyle w:val="Compact"/>
            </w:pPr>
            <w:r>
              <w:t xml:space="preserve">React 18 + Vite</w:t>
            </w:r>
          </w:p>
        </w:tc>
        <w:tc>
          <w:tcPr/>
          <w:p>
            <w:pPr>
              <w:pStyle w:val="Compact"/>
            </w:pPr>
            <w:r>
              <w:t xml:space="preserve">Interface web e</w:t>
            </w:r>
            <w:r>
              <w:t xml:space="preserve"> </w:t>
            </w:r>
            <w:r>
              <w:rPr>
                <w:i/>
                <w:iCs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Visualização</w:t>
            </w:r>
          </w:p>
        </w:tc>
        <w:tc>
          <w:tcPr/>
          <w:p>
            <w:pPr>
              <w:pStyle w:val="Compact"/>
            </w:pPr>
            <w: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Gráficos das regras e métricas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Jest + Supertest</w:t>
            </w:r>
          </w:p>
        </w:tc>
        <w:tc>
          <w:tcPr/>
          <w:p>
            <w:pPr>
              <w:pStyle w:val="Compact"/>
            </w:pPr>
            <w:r>
              <w:t xml:space="preserve">Testes unitários e de integração</w:t>
            </w:r>
          </w:p>
        </w:tc>
      </w:tr>
    </w:tbl>
    <w:p>
      <w:pPr>
        <w:pStyle w:val="BodyText"/>
      </w:pPr>
      <w:r>
        <w:t xml:space="preserve">Fonte: elaborado pelo autor (2026).</w:t>
      </w:r>
    </w:p>
    <w:p>
      <w:pPr>
        <w:pStyle w:val="BodyText"/>
      </w:pPr>
      <w:r>
        <w:t xml:space="preserve">A escolha do Supabase como plataforma de banco de dados deve-se à oferta de um PostgreSQL gerenciado em camada gratuita, com acesso via API REST (PostgREST), o que dispensa a manutenção de servidor próprio. O cache em Redis é tratado como dependência opcional: na sua ausência, o sistema recalcula as regras a cada requisição, degradando o desempenho, mas preservando a corretude — decisão de projeto detalhada na Seção 4.7.</w:t>
      </w:r>
    </w:p>
    <w:bookmarkEnd w:id="13"/>
    <w:bookmarkStart w:id="17" w:name="protocolo-de-validação"/>
    <w:p>
      <w:pPr>
        <w:pStyle w:val="Heading2"/>
      </w:pPr>
      <w:r>
        <w:t xml:space="preserve">3.6 Protocolo de validação</w:t>
      </w:r>
    </w:p>
    <w:p>
      <w:pPr>
        <w:pStyle w:val="FirstParagraph"/>
      </w:pPr>
      <w:r>
        <w:t xml:space="preserve">A avaliação da qualidade das recomendações emprega as três métricas clássicas de recuperação de informação —</w:t>
      </w:r>
      <w:r>
        <w:t xml:space="preserve"> </w:t>
      </w:r>
      <w:r>
        <w:rPr>
          <w:b/>
          <w:bCs/>
        </w:rPr>
        <w:t xml:space="preserve">Precision</w:t>
      </w:r>
      <w:r>
        <w:t xml:space="preserve">,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F1-Score</w:t>
      </w:r>
      <w:r>
        <w:t xml:space="preserve"> </w:t>
      </w:r>
      <w:r>
        <w:t xml:space="preserve">(POWERS, 2011) —, cuja fundamentação consta da Seção 2.5. A estratégia para estimá-las, contudo, precisa acomodar a principal restrição deste estudo: o reduzido número de transações.</w:t>
      </w:r>
    </w:p>
    <w:bookmarkStart w:id="14" w:name="limitação-do-holdout-simples"/>
    <w:p>
      <w:pPr>
        <w:pStyle w:val="Heading3"/>
      </w:pPr>
      <w:r>
        <w:t xml:space="preserve">3.6.1 Limitação do</w:t>
      </w:r>
      <w:r>
        <w:t xml:space="preserve"> </w:t>
      </w:r>
      <w:r>
        <w:rPr>
          <w:i/>
          <w:iCs/>
        </w:rPr>
        <w:t xml:space="preserve">holdout</w:t>
      </w:r>
      <w:r>
        <w:t xml:space="preserve"> </w:t>
      </w:r>
      <w:r>
        <w:t xml:space="preserve">simples</w:t>
      </w:r>
    </w:p>
    <w:p>
      <w:pPr>
        <w:pStyle w:val="FirstParagraph"/>
      </w:pPr>
      <w:r>
        <w:t xml:space="preserve">A abordagem mais comum, o</w:t>
      </w:r>
      <w:r>
        <w:t xml:space="preserve"> </w:t>
      </w:r>
      <w:r>
        <w:rPr>
          <w:i/>
          <w:iCs/>
        </w:rPr>
        <w:t xml:space="preserve">holdout</w:t>
      </w:r>
      <w:r>
        <w:t xml:space="preserve"> </w:t>
      </w:r>
      <w:r>
        <w:t xml:space="preserve">por divisão treino/teste (por exemplo, 80% para treino e 20% para teste), foi inicialmente implementada como referência. Em um conjunto de 30 transações, porém, os 20% reservados ao teste correspondem a apenas seis transações, das quais somente as multi-item permitem avaliação efetiva — na prática,</w:t>
      </w:r>
      <w:r>
        <w:t xml:space="preserve"> </w:t>
      </w:r>
      <w:r>
        <w:rPr>
          <w:b/>
          <w:bCs/>
        </w:rPr>
        <w:t xml:space="preserve">três transações avaliáveis</w:t>
      </w:r>
      <w:r>
        <w:t xml:space="preserve">. Uma estimativa apoiada em tão poucos casos é altamente instável: a inclusão ou exclusão de uma única transação altera drasticamente o resultado, comprometendo a confiabilidade da métrica.</w:t>
      </w:r>
    </w:p>
    <w:bookmarkEnd w:id="14"/>
    <w:bookmarkStart w:id="15" w:name="validação-cruzada-leave-one-out-loocv"/>
    <w:p>
      <w:pPr>
        <w:pStyle w:val="Heading3"/>
      </w:pPr>
      <w:r>
        <w:t xml:space="preserve">3.6.2 Validação cruzada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 </w:t>
      </w:r>
      <w:r>
        <w:t xml:space="preserve">(LOOCV)</w:t>
      </w:r>
    </w:p>
    <w:p>
      <w:pPr>
        <w:pStyle w:val="FirstParagraph"/>
      </w:pPr>
      <w:r>
        <w:t xml:space="preserve">Para mitigar essa limitação, adota-se como protocolo</w:t>
      </w:r>
      <w:r>
        <w:t xml:space="preserve"> </w:t>
      </w:r>
      <w:r>
        <w:rPr>
          <w:b/>
          <w:bCs/>
        </w:rPr>
        <w:t xml:space="preserve">principal</w:t>
      </w:r>
      <w:r>
        <w:t xml:space="preserve"> </w:t>
      </w:r>
      <w:r>
        <w:t xml:space="preserve">a validação cruzada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 </w:t>
      </w:r>
      <w:r>
        <w:t xml:space="preserve">(LOOCV), recomendada para conjuntos de dados pequenos por aproveitar ao máximo a informação disponível (HAN; KAMBER; PEI, 2011). Em vez de uma única partição, o procedimento executa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rodadas, sendo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 número de transações: em cada rodada, uma transação é separada para teste e o algoritmo é treinado com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restantes. Assim, cada transação é usada como teste exatamente uma vez, e o modelo é sempre treinado com o máximo de dados possível.</w:t>
      </w:r>
    </w:p>
    <w:p>
      <w:pPr>
        <w:pStyle w:val="BodyText"/>
      </w:pPr>
      <w:r>
        <w:t xml:space="preserve">Em cada transação de teste, aplica-se o esquema de</w:t>
      </w:r>
      <w:r>
        <w:t xml:space="preserve"> </w:t>
      </w:r>
      <w:r>
        <w:rPr>
          <w:b/>
          <w:bCs/>
        </w:rPr>
        <w:t xml:space="preserve">ocultação de um item</w:t>
      </w:r>
      <w:r>
        <w:t xml:space="preserve"> </w:t>
      </w:r>
      <w:r>
        <w:t xml:space="preserve">(</w:t>
      </w:r>
      <w:r>
        <w:rPr>
          <w:i/>
          <w:iCs/>
        </w:rPr>
        <w:t xml:space="preserve">leave-one-out</w:t>
      </w:r>
      <w:r>
        <w:t xml:space="preserve"> </w:t>
      </w:r>
      <w:r>
        <w:t xml:space="preserve">interno): de uma cesta com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produtos, oculta-se um produto por vez e apresentam-se os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restantes como antecedentes. O algoritmo gera as Top-N recomendações a partir das regras de treino, e verifica-se se o produto ocultado figura entre as sugeridas. Uma cesta 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produtos gera, portanto,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subtestes. As métricas são calculadas sobre o conjunto de todos os subtestes acumulados nas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rodadas.</w:t>
      </w:r>
    </w:p>
    <w:p>
      <w:pPr>
        <w:pStyle w:val="BodyText"/>
      </w:pPr>
      <w:r>
        <w:t xml:space="preserve">Formalmente, para cada subteste, sendo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 conjunto de produtos recomendados e</w:t>
      </w:r>
      <w:r>
        <w:t xml:space="preserve"> </w:t>
      </w:r>
      <m:oMath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o produto ocultado (a verdade de referência):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Precision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p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p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t>p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bookmarkEnd w:id="15"/>
    <w:bookmarkStart w:id="16" w:name="considerações-sobre-o-teto-da-precision"/>
    <w:p>
      <w:pPr>
        <w:pStyle w:val="Heading3"/>
      </w:pPr>
      <w:r>
        <w:t xml:space="preserve">3.6.3 Considerações sobre o teto da Precision</w:t>
      </w:r>
    </w:p>
    <w:p>
      <w:pPr>
        <w:pStyle w:val="FirstParagraph"/>
      </w:pPr>
      <w:r>
        <w:t xml:space="preserve">Cabe registrar uma propriedade do esquema de ocultação de um único item: como há exatamente</w:t>
      </w:r>
      <w:r>
        <w:t xml:space="preserve"> </w:t>
      </w:r>
      <w:r>
        <w:rPr>
          <w:b/>
          <w:bCs/>
        </w:rPr>
        <w:t xml:space="preserve">um</w:t>
      </w:r>
      <w:r>
        <w:t xml:space="preserve"> </w:t>
      </w:r>
      <w:r>
        <w:t xml:space="preserve">produto a recuperar e o sistema recomenda até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produtos (com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), o valor máximo teórico da Precision em um subteste com acerto é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33</m:t>
        </m:r>
      </m:oMath>
      <w:r>
        <w:t xml:space="preserve">. A Precision, neste desenho, é estruturalmente limitada e deve ser interpretada à luz desse teto; o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F1-Score</w:t>
      </w:r>
      <w:r>
        <w:t xml:space="preserve"> </w:t>
      </w:r>
      <w:r>
        <w:t xml:space="preserve">tornam-se, assim, os indicadores mais informativos da capacidade de o sistema</w:t>
      </w:r>
      <w:r>
        <w:t xml:space="preserve"> </w:t>
      </w:r>
      <w:r>
        <w:t xml:space="preserve">“completar a cesta”</w:t>
      </w:r>
      <w:r>
        <w:t xml:space="preserve">. Essa interpretação é retomada na análise dos resultados (Capítulo 5).</w:t>
      </w:r>
    </w:p>
    <w:p>
      <w:pPr>
        <w:pStyle w:val="BodyText"/>
      </w:pPr>
      <w:r>
        <w:t xml:space="preserve">Os parâmetros do algoritmo são mantidos constantes em toda a validação, nos valores definidos para o sistema: confiança mínima de 0,30, suporte mínimo de 0,02,</w:t>
      </w:r>
      <w:r>
        <w:t xml:space="preserve"> </w:t>
      </w:r>
      <w:r>
        <w:rPr>
          <w:i/>
          <w:iCs/>
        </w:rPr>
        <w:t xml:space="preserve">lift</w:t>
      </w:r>
      <w:r>
        <w:t xml:space="preserve"> </w:t>
      </w:r>
      <w:r>
        <w:t xml:space="preserve">mínimo de 1,0 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recomendações. A justificativa desses limiares e os resultados obtidos são apresentados no Capítulo 5.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2026-06-18T18:40:12Z</dcterms:created>
  <dcterms:modified xsi:type="dcterms:W3CDTF">2026-06-18T18:40:12Z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