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Collaborative Discussion 2 - Misinterpretation of Statistical Information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Many argue that the 0.05 p-value has become the gold standard, at the expense of critical analysis and reasoned thinking (Wasserstein and Lazar, 2016; Greenland et al., 2016; Tijssen, 2021).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American Statistical Association executive director Ron Wasserstein remarked that “Well-reasoned statistical arguments contain much more than the value of a single number and whether that number exceeds an arbitrary threshold.” (American Statistical Association, 2016).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use of a p-value divides all results into a binary outcome. Either a result shows statistical significance or it does not. This is inherently problematic as a p-value of 0.051 is treated differently from 0.049, whilst p-values of 0.4 and 0.0001 are treated identically.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Many argue that the p-value has led to oversimplification when interpreting results. Whilst the p-value indicates the compatibility of a result within a model, many interpret the p-value as an absolute truth (American Statistical Association, 2016; Wasserstein and Lazar, 2016; Greenland et al., 2016; Tijssen, 2021).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using the p-value researchers make assumptions such as a logical null hypothesis, correctly set up test, unbiased and correctly collected data, fair conditions and a sufficiently large sample size. This can be particularly problematic when comparing studies with conflicting p-values (Greenland et al., 2016).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Over-emphasis on the 0.05 p-value has also led to a tendency for researchers to hunt for the p-value in place of other indicators. This includes cherry-picking the data chosen for presentation, publication and citation. Additionally, it also leads to practices such as p-hacking and data dredging (American Statistical Association, 2016).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Another problem is that statistical significance testing fails to equate for effect size. A study with a low p-value may have a very small effect size (Greenland et al., 2016).</w:t>
      </w:r>
    </w:p>
    <w:p w:rsidR="00000000" w:rsidDel="00000000" w:rsidP="00000000" w:rsidRDefault="00000000" w:rsidRPr="00000000" w14:paraId="00000010">
      <w:pPr>
        <w:rPr/>
      </w:pPr>
      <w:r w:rsidDel="00000000" w:rsidR="00000000" w:rsidRPr="00000000">
        <w:rPr>
          <w:rtl w:val="0"/>
        </w:rPr>
        <w:t xml:space="preserve">This can be particularly problematic when considering drug testing. A very expensive pill with a low p-value, but a minor effect size, would be preferred over another study with a greater effect size but a higher p-value.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conclusion, whilst some publishers, such as the editors of Basic and Applied Social Psychology, have banned p-values (Trafimow and Marks, 2015), this extreme standpoint might not be required for all statistical analysis.</w:t>
      </w:r>
    </w:p>
    <w:p w:rsidR="00000000" w:rsidDel="00000000" w:rsidP="00000000" w:rsidRDefault="00000000" w:rsidRPr="00000000" w14:paraId="00000013">
      <w:pPr>
        <w:spacing w:after="240" w:before="240" w:lineRule="auto"/>
        <w:rPr/>
      </w:pPr>
      <w:r w:rsidDel="00000000" w:rsidR="00000000" w:rsidRPr="00000000">
        <w:rPr>
          <w:rtl w:val="0"/>
        </w:rPr>
        <w:t xml:space="preserve">P-values</w:t>
      </w:r>
      <w:r w:rsidDel="00000000" w:rsidR="00000000" w:rsidRPr="00000000">
        <w:rPr>
          <w:rtl w:val="0"/>
        </w:rPr>
        <w:t xml:space="preserve"> have their place in statistical analysis, but should be treated as just one possible measurement when interpreting data. Measurements such as power, confidence intervals, effect size, correlation and the robustness of the study should all be used to critically evaluate data.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References</w:t>
      </w:r>
    </w:p>
    <w:p w:rsidR="00000000" w:rsidDel="00000000" w:rsidP="00000000" w:rsidRDefault="00000000" w:rsidRPr="00000000" w14:paraId="00000016">
      <w:pPr>
        <w:rPr/>
      </w:pPr>
      <w:r w:rsidDel="00000000" w:rsidR="00000000" w:rsidRPr="00000000">
        <w:rPr>
          <w:rtl w:val="0"/>
        </w:rPr>
        <w:t xml:space="preserve">American Statistical Association (2016) American Statistical Association releases statement on statistical significance and p-values: Provides principles to improve the conduct and interpretation of quantitative science. Available at:</w:t>
      </w:r>
      <w:hyperlink r:id="rId6">
        <w:r w:rsidDel="00000000" w:rsidR="00000000" w:rsidRPr="00000000">
          <w:rPr>
            <w:color w:val="1155cc"/>
            <w:u w:val="single"/>
            <w:rtl w:val="0"/>
          </w:rPr>
          <w:t xml:space="preserve"> https://www.amstat.org/asa/files/pdfs/p-valuestatement.pdf</w:t>
        </w:r>
      </w:hyperlink>
      <w:r w:rsidDel="00000000" w:rsidR="00000000" w:rsidRPr="00000000">
        <w:rPr>
          <w:rtl w:val="0"/>
        </w:rPr>
        <w:t xml:space="preserve"> (Accessed: 2 October 2026).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Greenland, S. et al. (2016) ‘Statistical tests, P values, confidence intervals, and power: a guide to misinterpretations’, European Journal of Epidemiology, 31, pp. 337–350. Available at:</w:t>
      </w:r>
      <w:hyperlink r:id="rId7">
        <w:r w:rsidDel="00000000" w:rsidR="00000000" w:rsidRPr="00000000">
          <w:rPr>
            <w:color w:val="1155cc"/>
            <w:u w:val="single"/>
            <w:rtl w:val="0"/>
          </w:rPr>
          <w:t xml:space="preserve"> https://doi.org/10.1007/s10654-016-0149-3</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Tijssen, J.G.P. (2021) ‘More confidence intervals and fewer p values: A positive trend?’, Journal of the American College of Cardiology, 77(12), pp. 1562–1563. Available at:</w:t>
      </w:r>
      <w:hyperlink r:id="rId8">
        <w:r w:rsidDel="00000000" w:rsidR="00000000" w:rsidRPr="00000000">
          <w:rPr>
            <w:color w:val="1155cc"/>
            <w:u w:val="single"/>
            <w:rtl w:val="0"/>
          </w:rPr>
          <w:t xml:space="preserve"> https://doi.org/10.1016/j.jacc.2021.02.004</w:t>
        </w:r>
      </w:hyperlink>
      <w:hyperlink r:id="rId9">
        <w:r w:rsidDel="00000000" w:rsidR="00000000" w:rsidRPr="00000000">
          <w:rPr>
            <w:color w:val="1155cc"/>
            <w:u w:val="single"/>
            <w:rtl w:val="0"/>
          </w:rPr>
          <w:t xml:space="preserve"> JACC</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Trafimow, D. and Marks, M. (2015) ‘Editorial’, Basic and Applied Social Psychology, 37(1), pp. 1–2. Available at:</w:t>
      </w:r>
      <w:hyperlink r:id="rId10">
        <w:r w:rsidDel="00000000" w:rsidR="00000000" w:rsidRPr="00000000">
          <w:rPr>
            <w:color w:val="1155cc"/>
            <w:u w:val="single"/>
            <w:rtl w:val="0"/>
          </w:rPr>
          <w:t xml:space="preserve"> https://doi.org/10.1080/01973533.2015.1012991</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Wasserstein, R. L. and Lazar, N. A. (2016) ‘The ASA Statement on p-Values: Context, Process, and Purpose’, The American Statistician, 70(2), pp. 129–133. doi: 10.1080/00031305.2016.1154108.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Peer Responses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rFonts w:ascii="Montserrat" w:cs="Montserrat" w:eastAsia="Montserrat" w:hAnsi="Montserrat"/>
      <w:b w:val="1"/>
      <w:bCs w:val="1"/>
      <w:sz w:val="40"/>
      <w:szCs w:val="40"/>
    </w:rPr>
  </w:style>
  <w:style w:type="paragraph" w:styleId="Heading2">
    <w:name w:val="heading 2"/>
    <w:basedOn w:val="Normal"/>
    <w:next w:val="Normal"/>
    <w:pPr>
      <w:keepNext w:val="1"/>
      <w:keepLines w:val="1"/>
      <w:spacing w:line="288" w:lineRule="auto"/>
    </w:pPr>
    <w:rPr>
      <w:rFonts w:ascii="Montserrat" w:cs="Montserrat" w:eastAsia="Montserrat" w:hAnsi="Montserrat"/>
      <w:b w:val="1"/>
      <w:bCs w:val="1"/>
      <w:sz w:val="32"/>
      <w:szCs w:val="32"/>
    </w:rPr>
  </w:style>
  <w:style w:type="paragraph" w:styleId="Heading3">
    <w:name w:val="heading 3"/>
    <w:basedOn w:val="Normal"/>
    <w:next w:val="Normal"/>
    <w:pPr>
      <w:keepNext w:val="1"/>
      <w:keepLines w:val="1"/>
      <w:spacing w:after="80" w:before="320" w:line="276" w:lineRule="auto"/>
    </w:pPr>
    <w:rPr>
      <w:rFonts w:ascii="Montserrat" w:cs="Montserrat" w:eastAsia="Montserrat" w:hAnsi="Montserrat"/>
      <w:b w:val="1"/>
      <w:bCs w:val="1"/>
      <w:sz w:val="28"/>
      <w:szCs w:val="28"/>
    </w:rPr>
  </w:style>
  <w:style w:type="paragraph" w:styleId="Heading4">
    <w:name w:val="heading 4"/>
    <w:basedOn w:val="Normal"/>
    <w:next w:val="Normal"/>
    <w:pPr>
      <w:keepNext w:val="1"/>
      <w:keepLines w:val="1"/>
      <w:spacing w:after="200" w:before="280" w:lineRule="auto"/>
    </w:pPr>
    <w:rPr>
      <w:rFonts w:ascii="Montserrat SemiBold" w:cs="Montserrat SemiBold" w:eastAsia="Montserrat SemiBold" w:hAnsi="Montserrat SemiBold"/>
      <w:sz w:val="26"/>
      <w:szCs w:val="26"/>
    </w:rPr>
  </w:style>
  <w:style w:type="paragraph" w:styleId="Heading5">
    <w:name w:val="heading 5"/>
    <w:basedOn w:val="Normal"/>
    <w:next w:val="Normal"/>
    <w:pPr>
      <w:keepNext w:val="1"/>
      <w:keepLines w:val="1"/>
      <w:spacing w:after="80" w:before="240" w:lineRule="auto"/>
    </w:pPr>
    <w:rPr>
      <w:b w:val="1"/>
      <w:bCs w:val="1"/>
      <w:color w:val="f85cc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240" w:lineRule="auto"/>
    </w:pPr>
    <w:rPr>
      <w:rFonts w:ascii="Montserrat" w:cs="Montserrat" w:eastAsia="Montserrat" w:hAnsi="Montserrat"/>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080/01973533.2015.1012991" TargetMode="External"/><Relationship Id="rId9" Type="http://schemas.openxmlformats.org/officeDocument/2006/relationships/hyperlink" Target="https://www.jacc.org/doi/10.1016/j.jacc.2021.02.004?utm_source=chatgpt.com" TargetMode="External"/><Relationship Id="rId5" Type="http://schemas.openxmlformats.org/officeDocument/2006/relationships/styles" Target="styles.xml"/><Relationship Id="rId6" Type="http://schemas.openxmlformats.org/officeDocument/2006/relationships/hyperlink" Target="https://www.amstat.org/asa/files/pdfs/p-valuestatement.pdf" TargetMode="External"/><Relationship Id="rId7" Type="http://schemas.openxmlformats.org/officeDocument/2006/relationships/hyperlink" Target="https://doi.org/10.1007/s10654-016-0149-3" TargetMode="External"/><Relationship Id="rId8" Type="http://schemas.openxmlformats.org/officeDocument/2006/relationships/hyperlink" Target="https://doi.org/10.1016/j.jacc.2021.02.0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