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X"/>
      </w:pPr>
      <w:r>
        <w:t xml:space="preserve">Relatório do Projeto — Java Event Planner</w:t>
      </w:r>
    </w:p>
    <w:p>
      <w:pPr>
        <w:spacing w:after="200"/>
      </w:pPr>
      <w:r>
        <w:rPr>
          <w:i/>
          <w:iCs/>
          <w:color w:val="555555"/>
        </w:rPr>
        <w:t xml:space="preserve">SCC0504 — Programação Orientada a Objetos · Versão Compacta · Java + Swing</w:t>
      </w:r>
    </w:p>
    <w:p>
      <w:pPr>
        <w:spacing w:after="120" w:line="276"/>
      </w:pPr>
      <w:r>
        <w:rPr>
          <w:b/>
          <w:bCs/>
        </w:rPr>
        <w:t xml:space="preserve">Equipe: </w:t>
      </w:r>
      <w:r>
        <w:t xml:space="preserve">______________________  ·  ______________________  ·  ______________________  ·  ______________________  (preencher nomes e nº USP)</w:t>
      </w:r>
    </w:p>
    <w:p>
      <w:pPr>
        <w:pStyle w:val="Heading1"/>
      </w:pPr>
      <w:r>
        <w:t xml:space="preserve">1. Descrição da aplicação</w:t>
      </w:r>
    </w:p>
    <w:p>
      <w:pPr>
        <w:spacing w:after="120" w:line="276"/>
      </w:pPr>
      <w:r>
        <w:t xml:space="preserve">O Java Event Planner é uma aplicação desktop, escrita em Java com a biblioteca gráfica Swing, para gerenciar uma agenda de eventos. A janela principal mostra um calendário mensal de um lado e a lista de eventos do dia selecionado do outro. O usuário pode criar, editar, excluir e buscar eventos (por palavra-chave), navegar entre os meses e voltar rapidamente ao dia atual. Cada evento possui título, data, hora, local, descrição, categoria e um tempo de antecedência de lembrete.</w:t>
      </w:r>
    </w:p>
    <w:p>
      <w:pPr>
        <w:spacing w:after="120" w:line="276"/>
      </w:pPr>
      <w:r>
        <w:t xml:space="preserve">Ao abrir, o programa carrega os eventos salvos em arquivo e exibe, em uma janela de aviso, os lembretes cujo disparo cai nas próximas 24 horas (sem usar thread em segundo plano, conforme a versão Compacta). Como melhorias opcionais, implementamos categorias coloridas (cada tipo de evento tem uma cor no calendário) e lista de participantes (nome e e-mail) por evento.</w:t>
      </w:r>
    </w:p>
    <w:p>
      <w:pPr>
        <w:pStyle w:val="Heading1"/>
      </w:pPr>
      <w:r>
        <w:t xml:space="preserve">2. Como executar</w:t>
      </w:r>
    </w:p>
    <w:p>
      <w:pPr>
        <w:spacing w:after="120" w:line="276"/>
      </w:pPr>
      <w:r>
        <w:t xml:space="preserve">Requisito: Java 8 ou superior (testado em Java 11). A partir da raiz do projeto:</w:t>
      </w:r>
    </w:p>
    <w:p>
      <w:pPr>
        <w:shd w:fill="F2F3F5" w:val="clear"/>
        <w:spacing w:after="0" w:line="250"/>
      </w:pPr>
      <w:r>
        <w:rPr>
          <w:rFonts w:ascii="Courier New" w:cs="Courier New" w:eastAsia="Courier New" w:hAnsi="Courier New"/>
          <w:sz w:val="20"/>
          <w:szCs w:val="20"/>
        </w:rPr>
        <w:t xml:space="preserve">mkdir -p build</w:t>
      </w:r>
    </w:p>
    <w:p>
      <w:pPr>
        <w:shd w:fill="F2F3F5" w:val="clear"/>
        <w:spacing w:after="0" w:line="250"/>
      </w:pPr>
      <w:r>
        <w:rPr>
          <w:rFonts w:ascii="Courier New" w:cs="Courier New" w:eastAsia="Courier New" w:hAnsi="Courier New"/>
          <w:sz w:val="20"/>
          <w:szCs w:val="20"/>
        </w:rPr>
        <w:t xml:space="preserve">javac -d build $(find src -name "*.java")</w:t>
      </w:r>
    </w:p>
    <w:p>
      <w:pPr>
        <w:shd w:fill="F2F3F5" w:val="clear"/>
        <w:spacing w:after="140" w:line="250"/>
      </w:pPr>
      <w:r>
        <w:rPr>
          <w:rFonts w:ascii="Courier New" w:cs="Courier New" w:eastAsia="Courier New" w:hAnsi="Courier New"/>
          <w:sz w:val="20"/>
          <w:szCs w:val="20"/>
        </w:rPr>
        <w:t xml:space="preserve">java -cp build eventplanner.app.EventPlannerApp</w:t>
      </w:r>
    </w:p>
    <w:p>
      <w:pPr>
        <w:spacing w:after="120" w:line="276"/>
      </w:pPr>
      <w:r>
        <w:t xml:space="preserve">Os eventos são gravados em </w:t>
      </w:r>
      <w:r>
        <w:rPr>
          <w:rFonts w:ascii="Courier New" w:cs="Courier New" w:eastAsia="Courier New" w:hAnsi="Courier New"/>
          <w:sz w:val="20"/>
          <w:szCs w:val="20"/>
        </w:rPr>
        <w:t xml:space="preserve">dados/eventos.csv</w:t>
      </w:r>
      <w:r>
        <w:t xml:space="preserve"> (criado automaticamente se não existir). Detalhes no </w:t>
      </w:r>
      <w:r>
        <w:rPr>
          <w:rFonts w:ascii="Courier New" w:cs="Courier New" w:eastAsia="Courier New" w:hAnsi="Courier New"/>
          <w:sz w:val="20"/>
          <w:szCs w:val="20"/>
        </w:rPr>
        <w:t xml:space="preserve">README.md</w:t>
      </w:r>
      <w:r>
        <w:t xml:space="preserve">.</w:t>
      </w:r>
    </w:p>
    <w:p>
      <w:pPr>
        <w:pStyle w:val="Heading1"/>
      </w:pPr>
      <w:r>
        <w:t xml:space="preserve">3. Arquitetura</w:t>
      </w:r>
    </w:p>
    <w:p>
      <w:pPr>
        <w:spacing w:after="120" w:line="276"/>
      </w:pPr>
      <w:r>
        <w:t xml:space="preserve">Organizamos o código em camadas, no estilo Model-View-Controller (MVC) apresentado no Cap. 13. Cada pacote tem uma responsabilidade clara, o que facilita testar, dividir o trabalho e estender a aplicação: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5438"/>
      </w:tblGrid>
      <w:tr>
        <w:trPr>
          <w:tblHeader/>
        </w:trPr>
        <w:tc>
          <w:tcPr>
            <w:tcW w:type="dxa" w:w="19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Pacote</w:t>
            </w:r>
          </w:p>
        </w:tc>
        <w:tc>
          <w:tcPr>
            <w:tcW w:type="dxa" w:w="23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Papel</w:t>
            </w:r>
          </w:p>
        </w:tc>
        <w:tc>
          <w:tcPr>
            <w:tcW w:type="dxa" w:w="5438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Principais classes</w:t>
            </w:r>
          </w:p>
        </w:tc>
      </w:tr>
      <w:tr>
        <w:tc>
          <w:tcPr>
            <w:tcW w:type="dxa" w:w="19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modelo</w:t>
            </w:r>
          </w:p>
        </w:tc>
        <w:tc>
          <w:tcPr>
            <w:tcW w:type="dxa" w:w="23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Dados (Model)</w:t>
            </w:r>
          </w:p>
        </w:tc>
        <w:tc>
          <w:tcPr>
            <w:tcW w:type="dxa" w:w="5438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Evento, Participante, Categoria, Antecedencia</w:t>
            </w:r>
          </w:p>
        </w:tc>
      </w:tr>
      <w:tr>
        <w:tc>
          <w:tcPr>
            <w:tcW w:type="dxa" w:w="19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excecao</w:t>
            </w:r>
          </w:p>
        </w:tc>
        <w:tc>
          <w:tcPr>
            <w:tcW w:type="dxa" w:w="23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Erros de validação</w:t>
            </w:r>
          </w:p>
        </w:tc>
        <w:tc>
          <w:tcPr>
            <w:tcW w:type="dxa" w:w="5438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ValidacaoException e subclasses</w:t>
            </w:r>
          </w:p>
        </w:tc>
      </w:tr>
      <w:tr>
        <w:tc>
          <w:tcPr>
            <w:tcW w:type="dxa" w:w="19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persistencia</w:t>
            </w:r>
          </w:p>
        </w:tc>
        <w:tc>
          <w:tcPr>
            <w:tcW w:type="dxa" w:w="23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Ler/gravar arquivo</w:t>
            </w:r>
          </w:p>
        </w:tc>
        <w:tc>
          <w:tcPr>
            <w:tcW w:type="dxa" w:w="5438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RepositorioEventos (interface), RepositorioEventosCSV</w:t>
            </w:r>
          </w:p>
        </w:tc>
      </w:tr>
      <w:tr>
        <w:tc>
          <w:tcPr>
            <w:tcW w:type="dxa" w:w="19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servico</w:t>
            </w:r>
          </w:p>
        </w:tc>
        <w:tc>
          <w:tcPr>
            <w:tcW w:type="dxa" w:w="23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Regras (Controller)</w:t>
            </w:r>
          </w:p>
        </w:tc>
        <w:tc>
          <w:tcPr>
            <w:tcW w:type="dxa" w:w="5438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GerenciadorEventos</w:t>
            </w:r>
          </w:p>
        </w:tc>
      </w:tr>
      <w:tr>
        <w:tc>
          <w:tcPr>
            <w:tcW w:type="dxa" w:w="19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gui</w:t>
            </w:r>
          </w:p>
        </w:tc>
        <w:tc>
          <w:tcPr>
            <w:tcW w:type="dxa" w:w="23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Interface (View)</w:t>
            </w:r>
          </w:p>
        </w:tc>
        <w:tc>
          <w:tcPr>
            <w:tcW w:type="dxa" w:w="5438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JanelaPrincipal, PainelCalendario, PainelEventosDia, DialogoEvento, IntField</w:t>
            </w:r>
          </w:p>
        </w:tc>
      </w:tr>
      <w:tr>
        <w:tc>
          <w:tcPr>
            <w:tcW w:type="dxa" w:w="19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app</w:t>
            </w:r>
          </w:p>
        </w:tc>
        <w:tc>
          <w:tcPr>
            <w:tcW w:type="dxa" w:w="23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Inicialização</w:t>
            </w:r>
          </w:p>
        </w:tc>
        <w:tc>
          <w:tcPr>
            <w:tcW w:type="dxa" w:w="5438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EventPlannerApp (main)</w:t>
            </w:r>
          </w:p>
        </w:tc>
      </w:tr>
    </w:tbl>
    <w:p>
      <w:pPr>
        <w:spacing w:after="120" w:line="276"/>
      </w:pPr>
      <w:r>
        <w:t xml:space="preserve">A regra de ouro: a interface gráfica conversa apenas com o </w:t>
      </w:r>
      <w:r>
        <w:rPr>
          <w:rFonts w:ascii="Courier New" w:cs="Courier New" w:eastAsia="Courier New" w:hAnsi="Courier New"/>
          <w:sz w:val="20"/>
          <w:szCs w:val="20"/>
        </w:rPr>
        <w:t xml:space="preserve">GerenciadorEventos</w:t>
      </w:r>
      <w:r>
        <w:t xml:space="preserve">; este, por sua vez, fala com a persistência através de uma </w:t>
      </w:r>
      <w:r>
        <w:rPr>
          <w:b/>
          <w:bCs/>
        </w:rPr>
        <w:t xml:space="preserve">interface</w:t>
      </w:r>
      <w:r>
        <w:t xml:space="preserve">. A Figura 1 (ao final) mostra o diagrama de classes completo.</w:t>
      </w:r>
    </w:p>
    <w:p>
      <w:pPr>
        <w:pStyle w:val="Heading1"/>
      </w:pPr>
      <w:r>
        <w:t xml:space="preserve">4. Conceitos de POO aplicados (e por quê)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38"/>
        <w:gridCol w:w="3400"/>
      </w:tblGrid>
      <w:tr>
        <w:trPr>
          <w:tblHeader/>
        </w:trPr>
        <w:tc>
          <w:tcPr>
            <w:tcW w:type="dxa" w:w="2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Conceito</w:t>
            </w:r>
          </w:p>
        </w:tc>
        <w:tc>
          <w:tcPr>
            <w:tcW w:type="dxa" w:w="4138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Onde aparece</w:t>
            </w:r>
          </w:p>
        </w:tc>
        <w:tc>
          <w:tcPr>
            <w:tcW w:type="dxa" w:w="3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Por que usamos</w:t>
            </w:r>
          </w:p>
        </w:tc>
      </w:tr>
      <w:tr>
        <w:tc>
          <w:tcPr>
            <w:tcW w:type="dxa" w:w="2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Encapsulamento</w:t>
            </w:r>
          </w:p>
        </w:tc>
        <w:tc>
          <w:tcPr>
            <w:tcW w:type="dxa" w:w="4138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Atributos private + get/set em todo o modelo</w:t>
            </w:r>
          </w:p>
        </w:tc>
        <w:tc>
          <w:tcPr>
            <w:tcW w:type="dxa" w:w="3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Proteger o estado e centralizar validação (Cap. 3)</w:t>
            </w:r>
          </w:p>
        </w:tc>
      </w:tr>
      <w:tr>
        <w:tc>
          <w:tcPr>
            <w:tcW w:type="dxa" w:w="2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Herança</w:t>
            </w:r>
          </w:p>
        </w:tc>
        <w:tc>
          <w:tcPr>
            <w:tcW w:type="dxa" w:w="4138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JanelaPrincipal/painéis, IntField, hierarquia de exceções</w:t>
            </w:r>
          </w:p>
        </w:tc>
        <w:tc>
          <w:tcPr>
            <w:tcW w:type="dxa" w:w="3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Reaproveitar Swing e tratar erros por tipo (Cap. 8/10)</w:t>
            </w:r>
          </w:p>
        </w:tc>
      </w:tr>
      <w:tr>
        <w:tc>
          <w:tcPr>
            <w:tcW w:type="dxa" w:w="2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Polimorfismo</w:t>
            </w:r>
          </w:p>
        </w:tc>
        <w:tc>
          <w:tcPr>
            <w:tcW w:type="dxa" w:w="4138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toString() sobrescrito; interface de repositório; catch da base</w:t>
            </w:r>
          </w:p>
        </w:tc>
        <w:tc>
          <w:tcPr>
            <w:tcW w:type="dxa" w:w="3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Comportamento conforme o objeto (Cap. 8)</w:t>
            </w:r>
          </w:p>
        </w:tc>
      </w:tr>
      <w:tr>
        <w:tc>
          <w:tcPr>
            <w:tcW w:type="dxa" w:w="2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Abstração</w:t>
            </w:r>
          </w:p>
        </w:tc>
        <w:tc>
          <w:tcPr>
            <w:tcW w:type="dxa" w:w="4138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Interface RepositorioEventos</w:t>
            </w:r>
          </w:p>
        </w:tc>
        <w:tc>
          <w:tcPr>
            <w:tcW w:type="dxa" w:w="3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Trocar CSV por outro meio sem mexer no resto (Cap. 8)</w:t>
            </w:r>
          </w:p>
        </w:tc>
      </w:tr>
      <w:tr>
        <w:tc>
          <w:tcPr>
            <w:tcW w:type="dxa" w:w="2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Composição</w:t>
            </w:r>
          </w:p>
        </w:tc>
        <w:tc>
          <w:tcPr>
            <w:tcW w:type="dxa" w:w="4138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Evento tem Vector&lt;Participante&gt;, Categoria, Antecedencia</w:t>
            </w:r>
          </w:p>
        </w:tc>
        <w:tc>
          <w:tcPr>
            <w:tcW w:type="dxa" w:w="3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“Tem-um” em vez de “é-um”</w:t>
            </w:r>
          </w:p>
        </w:tc>
      </w:tr>
      <w:tr>
        <w:tc>
          <w:tcPr>
            <w:tcW w:type="dxa" w:w="21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Exceções</w:t>
            </w:r>
          </w:p>
        </w:tc>
        <w:tc>
          <w:tcPr>
            <w:tcW w:type="dxa" w:w="4138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try/catch/finally + exceções próprias + JOptionPane</w:t>
            </w:r>
          </w:p>
        </w:tc>
        <w:tc>
          <w:tcPr>
            <w:tcW w:type="dxa" w:w="3400"/>
            <w:tcBorders>
              <w:top w:val="single" w:color="C9CDD3" w:sz="1"/>
              <w:left w:val="single" w:color="C9CDD3" w:sz="1"/>
              <w:bottom w:val="single" w:color="C9CDD3" w:sz="1"/>
              <w:right w:val="single" w:color="C9CDD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t xml:space="preserve">Mensagens amigáveis, sem stack trace (Cap. 10)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Quais classes usam herança e por quê. </w:t>
      </w:r>
      <w:r>
        <w:t xml:space="preserve">(1) Componentes Swing: </w:t>
      </w:r>
      <w:r>
        <w:rPr>
          <w:rFonts w:ascii="Courier New" w:cs="Courier New" w:eastAsia="Courier New" w:hAnsi="Courier New"/>
          <w:sz w:val="20"/>
          <w:szCs w:val="20"/>
        </w:rPr>
        <w:t xml:space="preserve">JanelaPrincipal extends JFrame</w:t>
      </w:r>
      <w:r>
        <w:t xml:space="preserve">, os painéis </w:t>
      </w:r>
      <w:r>
        <w:rPr>
          <w:rFonts w:ascii="Courier New" w:cs="Courier New" w:eastAsia="Courier New" w:hAnsi="Courier New"/>
          <w:sz w:val="20"/>
          <w:szCs w:val="20"/>
        </w:rPr>
        <w:t xml:space="preserve">extends JPanel</w:t>
      </w:r>
      <w:r>
        <w:t xml:space="preserve"> e </w:t>
      </w:r>
      <w:r>
        <w:rPr>
          <w:rFonts w:ascii="Courier New" w:cs="Courier New" w:eastAsia="Courier New" w:hAnsi="Courier New"/>
          <w:sz w:val="20"/>
          <w:szCs w:val="20"/>
        </w:rPr>
        <w:t xml:space="preserve">IntField extends JTextField</w:t>
      </w:r>
      <w:r>
        <w:t xml:space="preserve"> — é a mesma herança que o livro usa (Cap. 4/13) para reaproveitar todo o comportamento de janela/campo e só acrescentar o nosso. (2) Exceções: </w:t>
      </w:r>
      <w:r>
        <w:rPr>
          <w:rFonts w:ascii="Courier New" w:cs="Courier New" w:eastAsia="Courier New" w:hAnsi="Courier New"/>
          <w:sz w:val="20"/>
          <w:szCs w:val="20"/>
        </w:rPr>
        <w:t xml:space="preserve">DataInvalidaException → ValidacaoException → Exception</w:t>
      </w:r>
      <w:r>
        <w:t xml:space="preserve"> (Cap. 10), permitindo tratar cada erro com a mensagem certa. </w:t>
      </w:r>
      <w:r>
        <w:rPr>
          <w:b/>
          <w:bCs/>
        </w:rPr>
        <w:t xml:space="preserve">Decisão consciente: </w:t>
      </w:r>
      <w:r>
        <w:t xml:space="preserve">NÃO criamos subclasses de Evento por categoria, pois a categoria muda apenas dados (rótulo, cor), não comportamento — modelá-la como atributo (enum) é mais correto que “herança por herança”.</w:t>
      </w:r>
    </w:p>
    <w:p>
      <w:pPr>
        <w:pStyle w:val="Heading1"/>
      </w:pPr>
      <w:r>
        <w:t xml:space="preserve">5. Principais desafios e soluções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Datas sem API nas aulas. </w:t>
      </w:r>
      <w:r>
        <w:t xml:space="preserve">Os slides não cobrem manipulação de datas. Calcular “em que dia da semana cai o dia 1º” e “quantos dias tem o mês” à mão (ano bissexto, etc.) é fonte de bugs. Solução: usar java.time (LocalDate/YearMonth), isolado e comentado no código como recurso fora das aulas.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Lembrete de 24h sem thread. </w:t>
      </w:r>
      <w:r>
        <w:t xml:space="preserve">Em vez de monitorar em segundo plano, comparamos, na inicialização, o instante do lembrete (data/hora do evento menos a antecedência) com “agora” e “agora + 24h”.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Persistência robusta. </w:t>
      </w:r>
      <w:r>
        <w:t xml:space="preserve">Arquivo ausente → começa com agenda vazia; linha corrompida → é ignorada e as demais carregam. Usamos try/catch e o bloco finally para fechar o arquivo (Cap. 10/Class13).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Separar interface de lógica. </w:t>
      </w:r>
      <w:r>
        <w:t xml:space="preserve">Uma camada de serviço (GerenciadorEventos) e uma interface de repositório evitam que a GUI conheça arquivos — a aula Cap. 13 mostra o ganho do MVC.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Validação amigável. </w:t>
      </w:r>
      <w:r>
        <w:t xml:space="preserve">Entradas inválidas (título vazio, data/hora, e-mail) lançam exceções próprias capturadas pela GUI, que mostra JOptionPane — o usuário nunca vê um stack trace.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Cores no calendário. </w:t>
      </w:r>
      <w:r>
        <w:t xml:space="preserve">Em alguns “look and feel” a cor de fundo do botão não aparece; resolvemos com setOpaque(true) e definindo o Look and Feel multiplataforma (UIManager, Cap. 13).</w:t>
      </w:r>
    </w:p>
    <w:p>
      <w:pPr>
        <w:pStyle w:val="Heading1"/>
      </w:pPr>
      <w:r>
        <w:t xml:space="preserve">6. Recursos além das aulas</w:t>
      </w:r>
    </w:p>
    <w:p>
      <w:pPr>
        <w:spacing w:after="120" w:line="276"/>
      </w:pPr>
      <w:r>
        <w:t xml:space="preserve">Para robustez, usamos alguns recursos não vistos em aula, todos </w:t>
      </w:r>
      <w:r>
        <w:rPr>
          <w:b/>
          <w:bCs/>
        </w:rPr>
        <w:t xml:space="preserve">comentados no ponto de uso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java.time</w:t>
      </w:r>
      <w:r>
        <w:t xml:space="preserve"> (datas/horas), </w:t>
      </w:r>
      <w:r>
        <w:rPr>
          <w:rFonts w:ascii="Courier New" w:cs="Courier New" w:eastAsia="Courier New" w:hAnsi="Courier New"/>
          <w:sz w:val="20"/>
          <w:szCs w:val="20"/>
        </w:rPr>
        <w:t xml:space="preserve">enum</w:t>
      </w:r>
      <w:r>
        <w:t xml:space="preserve"> (Categoria/Antecedencia), generics em </w:t>
      </w:r>
      <w:r>
        <w:rPr>
          <w:rFonts w:ascii="Courier New" w:cs="Courier New" w:eastAsia="Courier New" w:hAnsi="Courier New"/>
          <w:sz w:val="20"/>
          <w:szCs w:val="20"/>
        </w:rPr>
        <w:t xml:space="preserve">Vector&lt;Evento&gt;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JComboBox</w:t>
      </w:r>
      <w:r>
        <w:t xml:space="preserve">/</w:t>
      </w:r>
      <w:r>
        <w:rPr>
          <w:rFonts w:ascii="Courier New" w:cs="Courier New" w:eastAsia="Courier New" w:hAnsi="Courier New"/>
          <w:sz w:val="20"/>
          <w:szCs w:val="20"/>
        </w:rPr>
        <w:t xml:space="preserve">DefaultListModel</w:t>
      </w:r>
      <w:r>
        <w:t xml:space="preserve"> e </w:t>
      </w:r>
      <w:r>
        <w:rPr>
          <w:rFonts w:ascii="Courier New" w:cs="Courier New" w:eastAsia="Courier New" w:hAnsi="Courier New"/>
          <w:sz w:val="20"/>
          <w:szCs w:val="20"/>
        </w:rPr>
        <w:t xml:space="preserve">SwingUtilities.invokeLater</w:t>
      </w:r>
      <w:r>
        <w:t xml:space="preserve">. Toda a base (Swing, eventos, herança, interfaces, exceções, Vector, Scanner, PrintStream) está dentro do conteúdo das aulas.</w:t>
      </w:r>
    </w:p>
    <w:p>
      <w:pPr>
        <w:pStyle w:val="Heading1"/>
      </w:pPr>
      <w:r>
        <w:t xml:space="preserve">7. Conclusão</w:t>
      </w:r>
    </w:p>
    <w:p>
      <w:pPr>
        <w:spacing w:after="120" w:line="276"/>
      </w:pPr>
      <w:r>
        <w:t xml:space="preserve">O projeto cumpre todos os requisitos da versão Compacta e exercita, de forma integrada, os principais conceitos de POO da disciplina. A arquitetura em camadas e o uso de interfaces deixam o sistema preparado para evoluir (por exemplo, lembretes em tempo real com thread ou eventos recorrentes) sem reescrever o que já existe.</w:t>
      </w:r>
    </w:p>
    <w:p>
      <w:pPr>
        <w:spacing w:after="40" w:before="200"/>
        <w:jc w:val="center"/>
      </w:pPr>
      <w:r>
        <w:drawing>
          <wp:inline distT="0" distB="0" distL="0" distR="0">
            <wp:extent cx="5905500" cy="2971800"/>
            <wp:effectExtent t="0" r="0" b="0" l="0"/>
            <wp:docPr id="1" name="UML" descr="UML do Java Event Planner" title="Diagrama de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Figura 1 — Diagrama de classes (UML) do Java Event Planner.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rFonts w:ascii="Arial" w:cs="Arial" w:eastAsia="Arial" w:hAnsi="Arial"/>
      <w:b/>
      <w:bCs/>
      <w:color w:val="2E5AAC"/>
      <w:sz w:val="24"/>
      <w:szCs w:val="24"/>
    </w:rPr>
  </w:style>
  <w:style w:type="paragraph" w:styleId="TitleX">
    <w:name w:val="TitleX"/>
    <w:basedOn w:val="Normal"/>
    <w:next w:val="Normal"/>
    <w:pPr>
      <w:spacing w:after="60"/>
    </w:pPr>
    <w:rPr>
      <w:rFonts w:ascii="Arial" w:cs="Arial" w:eastAsia="Arial" w:hAnsi="Arial"/>
      <w:b/>
      <w:bCs/>
      <w:color w:val="13315C"/>
      <w:sz w:val="38"/>
      <w:szCs w:val="3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6776b753c1f66c6f4b9eedce4302b23f284094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SCC0504 - Java Event Planner</dc:title>
  <dc:subject>SCC0504</dc:subject>
  <dc:creator>Mezher</dc:creator>
  <dc:description>Projeto de Programacao Orientada a Objetos</dc:description>
  <cp:lastModifiedBy>Mezher</cp:lastModifiedBy>
  <cp:revision>1</cp:revision>
  <dcterms:created xsi:type="dcterms:W3CDTF">2026-06-21T01:55:06.905Z</dcterms:created>
  <dcterms:modified xsi:type="dcterms:W3CDTF">2026-06-21T01:55:06.905Z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