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E599"/>
  <w:body>
    <w:p w:rsidP="00000000" w:rsidRPr="00000000" w:rsidR="00000000" w:rsidDel="00000000" w:rsidRDefault="00000000">
      <w:pPr>
        <w:contextualSpacing w:val="0"/>
        <w:jc w:val="center"/>
      </w:pPr>
      <w:r w:rsidRPr="00000000" w:rsidR="00000000" w:rsidDel="00000000">
        <w:rPr>
          <w:sz w:val="120"/>
          <w:rtl w:val="0"/>
        </w:rPr>
        <w:t xml:space="preserve">TEST CASE STUDY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w:t>
      </w:r>
    </w:p>
    <w:p w:rsidP="00000000" w:rsidRPr="00000000" w:rsidR="00000000" w:rsidDel="00000000" w:rsidRDefault="00000000">
      <w:pPr>
        <w:contextualSpacing w:val="0"/>
        <w:rPr/>
      </w:pPr>
      <w:r w:rsidRPr="00000000" w:rsidR="00000000" w:rsidDel="00000000">
        <w:rPr>
          <w:rFonts w:cs="Verdana" w:hAnsi="Verdana" w:eastAsia="Verdana" w:ascii="Verdana"/>
          <w:sz w:val="16"/>
          <w:rtl w:val="0"/>
        </w:rPr>
        <w:t xml:space="preserve">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w:t>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