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СМЕТА НА СТРОИТЕЛЬНО-ОТДЕЛОЧНЫЕ РАБОТЫ</w:t>
      </w:r>
    </w:p>
    <w:p>
      <w:pPr>
        <w:jc w:val="center"/>
      </w:pPr>
      <w:r>
        <w:t xml:space="preserve">Локальный сметный расчёт № 12</w:t>
      </w:r>
    </w:p>
    <w:p>
      <w:pPr>
        <w:jc w:val="center"/>
      </w:pPr>
      <w:r>
        <w:t xml:space="preserve">Форма № 4</w:t>
      </w:r>
    </w:p>
    <w:p>
      <w:r>
        <w:t xml:space="preserve"/>
      </w:r>
    </w:p>
    <w:p>
      <w:r>
        <w:t xml:space="preserve">Наименование стройки: TRC-Кристалл</w:t>
      </w:r>
    </w:p>
    <w:p>
      <w:r>
        <w:t xml:space="preserve">Наименование работ и затрат, наименование объекта: устройства кровлей и гидроизоляция</w:t>
      </w:r>
    </w:p>
    <w:p>
      <w:r>
        <w:t xml:space="preserve">Основание (чертежи, спецификации): чертежи номер AP01-AP02</w:t>
      </w:r>
    </w:p>
    <w:p>
      <w:r>
        <w:t xml:space="preserve"/>
      </w:r>
    </w:p>
    <w:p>
      <w:r>
        <w:t xml:space="preserve">Сметная стоимость: </w:t>
      </w:r>
      <w:r>
        <w:rPr>
          <w:color w:val="0070C0"/>
          <w:u w:val="single"/>
          <w:b/>
        </w:rPr>
        <w:t xml:space="preserve">1 250 000 руб.</w:t>
      </w:r>
    </w:p>
    <w:p>
      <w:r>
        <w:t xml:space="preserve">Средства на оплату труда: 320 000 руб.</w:t>
      </w:r>
    </w:p>
    <w:p>
      <w:r>
        <w:t xml:space="preserve">Составлен(а) в текущих (прогнозных) ценах по состоянию на первый квартал 2026 года</w:t>
      </w:r>
    </w:p>
    <w:p>
      <w:r>
        <w:t xml:space="preserve">Составил: Ктихон Совенков Евгеневич</w:t>
      </w:r>
    </w:p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600" w:type="dxa"/>
          </w:tcPr>
          <w:p>
            <w:pPr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Шифр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b/>
              </w:rPr>
              <w:t xml:space="preserve">Наименование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/>
              </w:rPr>
              <w:t xml:space="preserve">Ед.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/>
              </w:rPr>
              <w:t xml:space="preserve">Кол-во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Базис/ед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Базис/общ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Текущ/ед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Текущ/общ</w:t>
            </w:r>
          </w:p>
        </w:tc>
      </w:tr>
      <w:tr>
        <w:tc>
          <w:tcPr>
            <w:tcW w:w="600" w:type="dxa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left"/>
            </w:pPr>
            <w:r>
              <w:t xml:space="preserve">06001</w:t>
            </w:r>
          </w:p>
        </w:tc>
        <w:tc>
          <w:tcPr>
            <w:tcW w:w="3600" w:type="dxa"/>
          </w:tcPr>
          <w:p>
            <w:pPr>
              <w:jc w:val="left"/>
            </w:pPr>
            <w:r>
              <w:t xml:space="preserve">монтаж кровлей</w:t>
            </w:r>
          </w:p>
        </w:tc>
        <w:tc>
          <w:tcPr>
            <w:tcW w:w="900" w:type="dxa"/>
          </w:tcPr>
          <w:p>
            <w:pPr>
              <w:jc w:val="left"/>
            </w:pPr>
            <w:r>
              <w:t xml:space="preserve">квадратный метр</w:t>
            </w:r>
          </w:p>
        </w:tc>
        <w:tc>
          <w:tcPr>
            <w:tcW w:w="900" w:type="dxa"/>
          </w:tcPr>
          <w:p>
            <w:pPr>
              <w:jc w:val="left"/>
            </w:pPr>
            <w:r>
              <w:t xml:space="preserve">500</w:t>
            </w:r>
          </w:p>
        </w:tc>
        <w:tc>
          <w:tcPr>
            <w:tcW w:w="1100" w:type="dxa"/>
          </w:tcPr>
          <w:p>
            <w:pPr>
              <w:jc w:val="left"/>
            </w:pPr>
            <w:r>
              <w:t xml:space="preserve">1200</w:t>
            </w:r>
          </w:p>
        </w:tc>
        <w:tc>
          <w:tcPr>
            <w:tcW w:w="1100" w:type="dxa"/>
          </w:tcPr>
          <w:p>
            <w:pPr>
              <w:jc w:val="left"/>
            </w:pPr>
            <w:r>
              <w:t xml:space="preserve">600000</w:t>
            </w:r>
          </w:p>
        </w:tc>
        <w:tc>
          <w:tcPr>
            <w:tcW w:w="1100" w:type="dxa"/>
          </w:tcPr>
          <w:p>
            <w:pPr>
              <w:jc w:val="left"/>
            </w:pPr>
            <w:r>
              <w:t xml:space="preserve">1500</w:t>
            </w:r>
          </w:p>
        </w:tc>
        <w:tc>
          <w:tcPr>
            <w:tcW w:w="1100" w:type="dxa"/>
          </w:tcPr>
          <w:p>
            <w:pPr>
              <w:jc w:val="left"/>
            </w:pPr>
            <w:r>
              <w:t xml:space="preserve">750000</w:t>
            </w:r>
          </w:p>
        </w:tc>
      </w:tr>
    </w:tbl>
    <w:p>
      <w:r>
        <w:t xml:space="preserve"/>
      </w:r>
    </w:p>
    <w:p>
      <w:r>
        <w:t xml:space="preserve">Итого прямые затраты по смете: 980 000 руб.</w:t>
      </w:r>
    </w:p>
    <w:p>
      <w:r>
        <w:t xml:space="preserve">ВСЕГО ПО СМЕТЕ: </w:t>
      </w:r>
      <w:r>
        <w:rPr>
          <w:color w:val="0070C0"/>
          <w:u w:val="single"/>
          <w:b/>
        </w:rPr>
        <w:t xml:space="preserve">1 250 000 руб.</w:t>
      </w:r>
    </w:p>
    <w:sectPr/>
  </w:body>
</w:document>
</file>