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84"/>
        <w:gridCol w:w="72"/>
        <w:gridCol w:w="3240"/>
      </w:tblGrid>
      <w:tr>
        <w:trPr>
          <w:cantSplit/>
        </w:trPr>
        <w:tc>
          <w:tcPr>
            <w:tcW w:type="dxa" w:w="3509"/>
            <w:tcMar>
              <w:top w:w="0" w:type="dxa"/>
              <w:start w:w="25" w:type="dxa"/>
              <w:bottom w:w="0" w:type="dxa"/>
              <w:end w:w="25" w:type="dxa"/>
            </w:tcMar>
            <w:vAlign w:val="center"/>
            <w:tcBorders>
              <w:top w:val="nil"/>
              <w:left w:val="nil"/>
              <w:bottom w:val="nil"/>
              <w:right w:val="nil"/>
            </w:tcBorders>
          </w:tcPr>
          <w:p>
            <w:pPr>
              <w:spacing w:before="0" w:after="0" w:line="240" w:lineRule="auto"/>
            </w:pPr>
            <w:r>
              <w:rPr>
                <w:rFonts w:ascii="Arial" w:hAnsi="Arial"/>
                <w:b/>
                <w:i w:val="0"/>
                <w:color w:val="1F4E79"/>
                <w:sz w:val="41"/>
              </w:rPr>
              <w:t>SHRAVANI BANDA</w:t>
            </w:r>
          </w:p>
          <w:p>
            <w:pPr>
              <w:spacing w:before="20" w:after="0" w:line="240" w:lineRule="auto"/>
            </w:pPr>
            <w:r>
              <w:rPr>
                <w:rFonts w:ascii="Arial" w:hAnsi="Arial"/>
                <w:b w:val="0"/>
                <w:i w:val="0"/>
                <w:color w:val="555555"/>
                <w:sz w:val="23"/>
              </w:rPr>
              <w:t>DevOps Engineer</w:t>
            </w:r>
          </w:p>
        </w:tc>
        <w:tc>
          <w:tcPr>
            <w:tcW w:type="dxa" w:w="3509"/>
            <w:tcMar>
              <w:top w:w="0" w:type="dxa"/>
              <w:start w:w="25" w:type="dxa"/>
              <w:bottom w:w="0" w:type="dxa"/>
              <w:end w:w="25" w:type="dxa"/>
            </w:tcMar>
            <w:vAlign w:val="center"/>
            <w:tcBorders>
              <w:top w:val="nil"/>
              <w:left w:val="single" w:sz="7" w:color="777777"/>
              <w:bottom w:val="nil"/>
              <w:right w:val="nil"/>
            </w:tcBorders>
          </w:tcPr>
          <w:p/>
        </w:tc>
        <w:tc>
          <w:tcPr>
            <w:tcW w:type="dxa" w:w="3509"/>
            <w:tcMar>
              <w:top w:w="0" w:type="dxa"/>
              <w:start w:w="25" w:type="dxa"/>
              <w:bottom w:w="0" w:type="dxa"/>
              <w:end w:w="25" w:type="dxa"/>
            </w:tcMar>
            <w:vAlign w:val="center"/>
            <w:tcBorders>
              <w:top w:val="nil"/>
              <w:left w:val="nil"/>
              <w:bottom w:val="nil"/>
              <w:right w:val="nil"/>
            </w:tcBorders>
          </w:tcPr>
          <w:p>
            <w:pPr>
              <w:spacing w:before="0" w:after="0" w:line="252" w:lineRule="auto"/>
              <w:jc w:val="right"/>
            </w:pPr>
            <w:r>
              <w:rPr>
                <w:rFonts w:ascii="Arial" w:hAnsi="Arial"/>
                <w:b w:val="0"/>
                <w:i w:val="0"/>
                <w:sz w:val="18"/>
              </w:rPr>
              <w:t>Bengaluru, India</w:t>
            </w:r>
            <w:r>
              <w:br/>
            </w:r>
            <w:r>
              <w:rPr>
                <w:rFonts w:ascii="Arial" w:hAnsi="Arial"/>
                <w:b w:val="0"/>
                <w:i w:val="0"/>
                <w:sz w:val="18"/>
              </w:rPr>
              <w:t>shravanisravs341@gmail.com</w:t>
            </w:r>
            <w:r>
              <w:br/>
            </w:r>
            <w:r>
              <w:rPr>
                <w:rFonts w:ascii="Arial" w:hAnsi="Arial"/>
                <w:b w:val="0"/>
                <w:i w:val="0"/>
                <w:sz w:val="18"/>
              </w:rPr>
              <w:t>+91 70131 57635</w:t>
            </w:r>
          </w:p>
        </w:tc>
      </w:tr>
    </w:tbl>
    <w:p>
      <w:pPr>
        <w:keepNext/>
        <w:spacing w:before="140" w:after="80" w:line="240" w:lineRule="auto"/>
        <w:pBdr>
          <w:bottom w:val="single" w:sz="10" w:space="2" w:color="1F4E79"/>
        </w:pBdr>
      </w:pPr>
      <w:r>
        <w:rPr>
          <w:rFonts w:ascii="Arial" w:hAnsi="Arial"/>
          <w:b/>
          <w:i w:val="0"/>
          <w:color w:val="1F4E79"/>
          <w:sz w:val="22"/>
        </w:rPr>
        <w:t>PROFESSIONAL SUMMARY</w:t>
      </w:r>
    </w:p>
    <w:p>
      <w:pPr>
        <w:spacing w:before="0" w:after="100" w:line="264" w:lineRule="auto"/>
      </w:pPr>
      <w:r>
        <w:rPr>
          <w:rFonts w:ascii="Arial" w:hAnsi="Arial"/>
          <w:b w:val="0"/>
          <w:i w:val="0"/>
          <w:sz w:val="19"/>
        </w:rPr>
        <w:t>DevOps Engineer with 5 years at Accenture specializing in CI/CD tools administration and large-scale CI/CD infrastructure management across on-premise, Azure and OCI environments. Administers GitHub (SaaS), GitHub Actions, Jenkins, GitLab and Azure DevOps within a centralized DevOps operations program serving 40+ business verticals and a large enterprise developer base. Manages Sonatype Nexus artifact repositories, Docker/Kubernetes-based CI/CD infrastructure on VMs and AKS/OKE, and observability using Dynatrace, Grafana and Prometheus with dashboards, alerting and log analysis. Experienced in incident resolution, change tasks, tool upgrades and release validation within SLAs for clients including Aramco Digital, NEOM, Fisher Investments and Brighthouse Financial. Python (basic) with AI-assisted development through Claude Code, GitHub Copilot and OpenAI Codex; working knowledge of GenAI fundamentals - prompt engineering, RAG concepts and LLM basics.</w:t>
      </w:r>
    </w:p>
    <w:tbl>
      <w:tblPr>
        <w:tblW w:type="auto" w:w="0"/>
        <w:jc w:val="center"/>
        <w:tblLayout w:type="fixed"/>
        <w:tblLook w:firstColumn="1" w:firstRow="1" w:lastColumn="0" w:lastRow="0" w:noHBand="0" w:noVBand="1" w:val="04A0"/>
      </w:tblPr>
      <w:tblGrid>
        <w:gridCol w:w="10368"/>
      </w:tblGrid>
      <w:tr>
        <w:trPr>
          <w:cantSplit/>
        </w:trPr>
        <w:tc>
          <w:tcPr>
            <w:tcW w:type="dxa" w:w="10527"/>
            <w:shd w:fill="E9EFF5"/>
            <w:tcMar>
              <w:top w:w="80" w:type="dxa"/>
              <w:start w:w="70" w:type="dxa"/>
              <w:bottom w:w="80" w:type="dxa"/>
              <w:end w:w="70" w:type="dxa"/>
            </w:tcMar>
            <w:tcBorders>
              <w:top w:val="single" w:sz="4" w:color="D2D8DE"/>
              <w:left w:val="single" w:sz="4" w:color="D2D8DE"/>
              <w:bottom w:val="single" w:sz="4" w:color="D2D8DE"/>
              <w:right w:val="single" w:sz="4" w:color="D2D8DE"/>
            </w:tcBorders>
          </w:tcPr>
          <w:p>
            <w:pPr>
              <w:spacing w:before="0" w:after="0" w:line="252" w:lineRule="auto"/>
              <w:jc w:val="center"/>
            </w:pPr>
            <w:r>
              <w:rPr>
                <w:rFonts w:ascii="Arial" w:hAnsi="Arial"/>
                <w:b w:val="0"/>
                <w:i w:val="0"/>
                <w:sz w:val="18"/>
              </w:rPr>
              <w:t>CI/CD tools administration | GitHub SaaS &amp; GitHub Actions | Jenkins | Sonatype Nexus | Docker &amp; Kubernetes | Dynatrace | Grafana &amp; Prometheus alerts and dashboards | Terraform IaC | Incident &amp; change management | Runbooks | GenAI fundamentals (prompt engineering, RAG)</w:t>
            </w:r>
          </w:p>
        </w:tc>
      </w:tr>
    </w:tbl>
    <w:p>
      <w:pPr>
        <w:keepNext/>
        <w:spacing w:before="140" w:after="80" w:line="240" w:lineRule="auto"/>
        <w:pBdr>
          <w:bottom w:val="single" w:sz="10" w:space="2" w:color="1F4E79"/>
        </w:pBdr>
      </w:pPr>
      <w:r>
        <w:rPr>
          <w:rFonts w:ascii="Arial" w:hAnsi="Arial"/>
          <w:b/>
          <w:i w:val="0"/>
          <w:color w:val="1F4E79"/>
          <w:sz w:val="22"/>
        </w:rPr>
        <w:t>TECHNICAL SKILLS</w:t>
      </w:r>
    </w:p>
    <w:tbl>
      <w:tblPr>
        <w:tblW w:type="auto" w:w="0"/>
        <w:jc w:val="center"/>
        <w:tblLayout w:type="fixed"/>
        <w:tblLook w:firstColumn="1" w:firstRow="1" w:lastColumn="0" w:lastRow="0" w:noHBand="0" w:noVBand="1" w:val="04A0"/>
      </w:tblPr>
      <w:tblGrid>
        <w:gridCol w:w="5198"/>
        <w:gridCol w:w="5198"/>
      </w:tblGrid>
      <w:tr>
        <w:trPr>
          <w:cantSplit/>
        </w:trPr>
        <w:tc>
          <w:tcPr>
            <w:tcW w:type="dxa" w:w="5263"/>
            <w:tcMar>
              <w:top w:w="72" w:type="dxa"/>
              <w:start w:w="70" w:type="dxa"/>
              <w:bottom w:w="72" w:type="dxa"/>
              <w:end w:w="70" w:type="dxa"/>
            </w:tcMar>
            <w:vAlign w:val="center"/>
            <w:tcBorders>
              <w:top w:val="single" w:sz="4" w:color="D9D9D9"/>
              <w:left w:val="single" w:sz="4" w:color="D9D9D9"/>
              <w:bottom w:val="single" w:sz="4" w:color="D9D9D9"/>
              <w:right w:val="single" w:sz="4" w:color="D9D9D9"/>
            </w:tcBorders>
          </w:tcPr>
          <w:p>
            <w:pPr>
              <w:spacing w:before="0" w:after="20" w:line="240" w:lineRule="auto"/>
            </w:pPr>
            <w:r>
              <w:rPr>
                <w:rFonts w:ascii="Arial" w:hAnsi="Arial"/>
                <w:b/>
                <w:i w:val="0"/>
                <w:color w:val="1F4E79"/>
                <w:sz w:val="18"/>
              </w:rPr>
              <w:t>CI/CD Tools &amp; Administration</w:t>
            </w:r>
          </w:p>
          <w:p>
            <w:pPr>
              <w:spacing w:before="0" w:after="0" w:line="240" w:lineRule="auto"/>
            </w:pPr>
            <w:r>
              <w:rPr>
                <w:rFonts w:ascii="Arial" w:hAnsi="Arial"/>
                <w:b w:val="0"/>
                <w:i w:val="0"/>
                <w:sz w:val="18"/>
              </w:rPr>
              <w:t>GitHub (SaaS); GitHub Actions (workflows &amp; runners); Jenkins; GitLab; Azure DevOps; YAML pipelines; tool upgrades, change tasks and release operations</w:t>
            </w:r>
          </w:p>
        </w:tc>
        <w:tc>
          <w:tcPr>
            <w:tcW w:type="dxa" w:w="5263"/>
            <w:tcMar>
              <w:top w:w="72" w:type="dxa"/>
              <w:start w:w="70" w:type="dxa"/>
              <w:bottom w:w="72" w:type="dxa"/>
              <w:end w:w="70" w:type="dxa"/>
            </w:tcMar>
            <w:vAlign w:val="center"/>
            <w:tcBorders>
              <w:top w:val="single" w:sz="4" w:color="D9D9D9"/>
              <w:left w:val="single" w:sz="4" w:color="D9D9D9"/>
              <w:bottom w:val="single" w:sz="4" w:color="D9D9D9"/>
              <w:right w:val="single" w:sz="4" w:color="D9D9D9"/>
            </w:tcBorders>
          </w:tcPr>
          <w:p>
            <w:pPr>
              <w:spacing w:before="0" w:after="20" w:line="240" w:lineRule="auto"/>
            </w:pPr>
            <w:r>
              <w:rPr>
                <w:rFonts w:ascii="Arial" w:hAnsi="Arial"/>
                <w:b/>
                <w:i w:val="0"/>
                <w:color w:val="1F4E79"/>
                <w:sz w:val="18"/>
              </w:rPr>
              <w:t>Artifact &amp; Repository Management</w:t>
            </w:r>
          </w:p>
          <w:p>
            <w:pPr>
              <w:spacing w:before="0" w:after="0" w:line="240" w:lineRule="auto"/>
            </w:pPr>
            <w:r>
              <w:rPr>
                <w:rFonts w:ascii="Arial" w:hAnsi="Arial"/>
                <w:b w:val="0"/>
                <w:i w:val="0"/>
                <w:sz w:val="18"/>
              </w:rPr>
              <w:t>Sonatype Nexus repository administration; Azure Container Registry; Oracle Container Registry; air-gapped artifact handling; release validation</w:t>
            </w:r>
          </w:p>
        </w:tc>
      </w:tr>
      <w:tr>
        <w:trPr>
          <w:cantSplit/>
        </w:trPr>
        <w:tc>
          <w:tcPr>
            <w:tcW w:type="dxa" w:w="5263"/>
            <w:tcMar>
              <w:top w:w="72" w:type="dxa"/>
              <w:start w:w="70" w:type="dxa"/>
              <w:bottom w:w="72" w:type="dxa"/>
              <w:end w:w="70" w:type="dxa"/>
            </w:tcMar>
            <w:vAlign w:val="center"/>
            <w:tcBorders>
              <w:top w:val="single" w:sz="4" w:color="D9D9D9"/>
              <w:left w:val="single" w:sz="4" w:color="D9D9D9"/>
              <w:bottom w:val="single" w:sz="4" w:color="D9D9D9"/>
              <w:right w:val="single" w:sz="4" w:color="D9D9D9"/>
            </w:tcBorders>
          </w:tcPr>
          <w:p>
            <w:pPr>
              <w:spacing w:before="0" w:after="20" w:line="240" w:lineRule="auto"/>
            </w:pPr>
            <w:r>
              <w:rPr>
                <w:rFonts w:ascii="Arial" w:hAnsi="Arial"/>
                <w:b/>
                <w:i w:val="0"/>
                <w:color w:val="1F4E79"/>
                <w:sz w:val="18"/>
              </w:rPr>
              <w:t>Containers &amp; Orchestration</w:t>
            </w:r>
          </w:p>
          <w:p>
            <w:pPr>
              <w:spacing w:before="0" w:after="0" w:line="240" w:lineRule="auto"/>
            </w:pPr>
            <w:r>
              <w:rPr>
                <w:rFonts w:ascii="Arial" w:hAnsi="Arial"/>
                <w:b w:val="0"/>
                <w:i w:val="0"/>
                <w:sz w:val="18"/>
              </w:rPr>
              <w:t>Docker; Kubernetes (AKS / OCI Kubernetes); Helm charts; managing and scaling Kubernetes-based applications and CI/CD infrastructure</w:t>
            </w:r>
          </w:p>
        </w:tc>
        <w:tc>
          <w:tcPr>
            <w:tcW w:type="dxa" w:w="5263"/>
            <w:tcMar>
              <w:top w:w="72" w:type="dxa"/>
              <w:start w:w="70" w:type="dxa"/>
              <w:bottom w:w="72" w:type="dxa"/>
              <w:end w:w="70" w:type="dxa"/>
            </w:tcMar>
            <w:vAlign w:val="center"/>
            <w:tcBorders>
              <w:top w:val="single" w:sz="4" w:color="D9D9D9"/>
              <w:left w:val="single" w:sz="4" w:color="D9D9D9"/>
              <w:bottom w:val="single" w:sz="4" w:color="D9D9D9"/>
              <w:right w:val="single" w:sz="4" w:color="D9D9D9"/>
            </w:tcBorders>
          </w:tcPr>
          <w:p>
            <w:pPr>
              <w:spacing w:before="0" w:after="20" w:line="240" w:lineRule="auto"/>
            </w:pPr>
            <w:r>
              <w:rPr>
                <w:rFonts w:ascii="Arial" w:hAnsi="Arial"/>
                <w:b/>
                <w:i w:val="0"/>
                <w:color w:val="1F4E79"/>
                <w:sz w:val="18"/>
              </w:rPr>
              <w:t>Observability &amp; Monitoring</w:t>
            </w:r>
          </w:p>
          <w:p>
            <w:pPr>
              <w:spacing w:before="0" w:after="0" w:line="240" w:lineRule="auto"/>
            </w:pPr>
            <w:r>
              <w:rPr>
                <w:rFonts w:ascii="Arial" w:hAnsi="Arial"/>
                <w:b w:val="0"/>
                <w:i w:val="0"/>
                <w:sz w:val="18"/>
              </w:rPr>
              <w:t>Dynatrace monitoring and dashboards; Grafana dashboards; Prometheus metrics and alert rules; alert configuration; log analysis; capacity, performance and error-rate metrics; RabbitMQ</w:t>
            </w:r>
          </w:p>
        </w:tc>
      </w:tr>
      <w:tr>
        <w:trPr>
          <w:cantSplit/>
        </w:trPr>
        <w:tc>
          <w:tcPr>
            <w:tcW w:type="dxa" w:w="5263"/>
            <w:tcMar>
              <w:top w:w="72" w:type="dxa"/>
              <w:start w:w="70" w:type="dxa"/>
              <w:bottom w:w="72" w:type="dxa"/>
              <w:end w:w="70" w:type="dxa"/>
            </w:tcMar>
            <w:vAlign w:val="center"/>
            <w:tcBorders>
              <w:top w:val="single" w:sz="4" w:color="D9D9D9"/>
              <w:left w:val="single" w:sz="4" w:color="D9D9D9"/>
              <w:bottom w:val="single" w:sz="4" w:color="D9D9D9"/>
              <w:right w:val="single" w:sz="4" w:color="D9D9D9"/>
            </w:tcBorders>
          </w:tcPr>
          <w:p>
            <w:pPr>
              <w:spacing w:before="0" w:after="20" w:line="240" w:lineRule="auto"/>
            </w:pPr>
            <w:r>
              <w:rPr>
                <w:rFonts w:ascii="Arial" w:hAnsi="Arial"/>
                <w:b/>
                <w:i w:val="0"/>
                <w:color w:val="1F4E79"/>
                <w:sz w:val="18"/>
              </w:rPr>
              <w:t>Cloud &amp; Infrastructure</w:t>
            </w:r>
          </w:p>
          <w:p>
            <w:pPr>
              <w:spacing w:before="0" w:after="0" w:line="240" w:lineRule="auto"/>
            </w:pPr>
            <w:r>
              <w:rPr>
                <w:rFonts w:ascii="Arial" w:hAnsi="Arial"/>
                <w:b w:val="0"/>
                <w:i w:val="0"/>
                <w:sz w:val="18"/>
              </w:rPr>
              <w:t>Microsoft Azure; Oracle Cloud Infrastructure (OCI); Terraform IaC; VM- and Kubernetes-based infrastructure across on-premise-portable and cloud patterns</w:t>
            </w:r>
          </w:p>
        </w:tc>
        <w:tc>
          <w:tcPr>
            <w:tcW w:type="dxa" w:w="5263"/>
            <w:tcMar>
              <w:top w:w="72" w:type="dxa"/>
              <w:start w:w="70" w:type="dxa"/>
              <w:bottom w:w="72" w:type="dxa"/>
              <w:end w:w="70" w:type="dxa"/>
            </w:tcMar>
            <w:vAlign w:val="center"/>
            <w:tcBorders>
              <w:top w:val="single" w:sz="4" w:color="D9D9D9"/>
              <w:left w:val="single" w:sz="4" w:color="D9D9D9"/>
              <w:bottom w:val="single" w:sz="4" w:color="D9D9D9"/>
              <w:right w:val="single" w:sz="4" w:color="D9D9D9"/>
            </w:tcBorders>
          </w:tcPr>
          <w:p>
            <w:pPr>
              <w:spacing w:before="0" w:after="20" w:line="240" w:lineRule="auto"/>
            </w:pPr>
            <w:r>
              <w:rPr>
                <w:rFonts w:ascii="Arial" w:hAnsi="Arial"/>
                <w:b/>
                <w:i w:val="0"/>
                <w:color w:val="1F4E79"/>
                <w:sz w:val="18"/>
              </w:rPr>
              <w:t>Scripting &amp; Automation</w:t>
            </w:r>
          </w:p>
          <w:p>
            <w:pPr>
              <w:spacing w:before="0" w:after="0" w:line="240" w:lineRule="auto"/>
            </w:pPr>
            <w:r>
              <w:rPr>
                <w:rFonts w:ascii="Arial" w:hAnsi="Arial"/>
                <w:b w:val="0"/>
                <w:i w:val="0"/>
                <w:sz w:val="18"/>
              </w:rPr>
              <w:t>Python (basic - productive via AI-assisted IDE workflows with Claude Code, GitHub Copilot, OpenAI Codex); Bash/Shell; Ansible (basic)</w:t>
            </w:r>
          </w:p>
        </w:tc>
      </w:tr>
      <w:tr>
        <w:trPr>
          <w:cantSplit/>
        </w:trPr>
        <w:tc>
          <w:tcPr>
            <w:tcW w:type="dxa" w:w="5263"/>
            <w:tcMar>
              <w:top w:w="72" w:type="dxa"/>
              <w:start w:w="70" w:type="dxa"/>
              <w:bottom w:w="72" w:type="dxa"/>
              <w:end w:w="70" w:type="dxa"/>
            </w:tcMar>
            <w:vAlign w:val="center"/>
            <w:tcBorders>
              <w:top w:val="single" w:sz="4" w:color="D9D9D9"/>
              <w:left w:val="single" w:sz="4" w:color="D9D9D9"/>
              <w:bottom w:val="single" w:sz="4" w:color="D9D9D9"/>
              <w:right w:val="single" w:sz="4" w:color="D9D9D9"/>
            </w:tcBorders>
          </w:tcPr>
          <w:p>
            <w:pPr>
              <w:spacing w:before="0" w:after="20" w:line="240" w:lineRule="auto"/>
            </w:pPr>
            <w:r>
              <w:rPr>
                <w:rFonts w:ascii="Arial" w:hAnsi="Arial"/>
                <w:b/>
                <w:i w:val="0"/>
                <w:color w:val="1F4E79"/>
                <w:sz w:val="18"/>
              </w:rPr>
              <w:t>GenAI Fundamentals</w:t>
            </w:r>
          </w:p>
          <w:p>
            <w:pPr>
              <w:spacing w:before="0" w:after="0" w:line="240" w:lineRule="auto"/>
            </w:pPr>
            <w:r>
              <w:rPr>
                <w:rFonts w:ascii="Arial" w:hAnsi="Arial"/>
                <w:b w:val="0"/>
                <w:i w:val="0"/>
                <w:sz w:val="18"/>
              </w:rPr>
              <w:t>Prompt engineering; RAG concepts (ingestion, chunking, embeddings, indexing, retrieval); LLM basics with Cohere, Llama and Gemma exposure (non-production); Azure AI Foundry; Ollama</w:t>
            </w:r>
          </w:p>
        </w:tc>
        <w:tc>
          <w:tcPr>
            <w:tcW w:type="dxa" w:w="5263"/>
            <w:tcMar>
              <w:top w:w="72" w:type="dxa"/>
              <w:start w:w="70" w:type="dxa"/>
              <w:bottom w:w="72" w:type="dxa"/>
              <w:end w:w="70" w:type="dxa"/>
            </w:tcMar>
            <w:vAlign w:val="center"/>
            <w:tcBorders>
              <w:top w:val="single" w:sz="4" w:color="D9D9D9"/>
              <w:left w:val="single" w:sz="4" w:color="D9D9D9"/>
              <w:bottom w:val="single" w:sz="4" w:color="D9D9D9"/>
              <w:right w:val="single" w:sz="4" w:color="D9D9D9"/>
            </w:tcBorders>
          </w:tcPr>
          <w:p>
            <w:pPr>
              <w:spacing w:before="0" w:after="20" w:line="240" w:lineRule="auto"/>
            </w:pPr>
            <w:r>
              <w:rPr>
                <w:rFonts w:ascii="Arial" w:hAnsi="Arial"/>
                <w:b/>
                <w:i w:val="0"/>
                <w:color w:val="1F4E79"/>
                <w:sz w:val="18"/>
              </w:rPr>
              <w:t>DevSecOps &amp; Compliance</w:t>
            </w:r>
          </w:p>
          <w:p>
            <w:pPr>
              <w:spacing w:before="0" w:after="0" w:line="240" w:lineRule="auto"/>
            </w:pPr>
            <w:r>
              <w:rPr>
                <w:rFonts w:ascii="Arial" w:hAnsi="Arial"/>
                <w:b w:val="0"/>
                <w:i w:val="0"/>
                <w:sz w:val="18"/>
              </w:rPr>
              <w:t>Trivy; SonarQube; OpenSCAP; security and compliance automation integrated into CI/CD workflows</w:t>
            </w:r>
          </w:p>
        </w:tc>
      </w:tr>
    </w:tbl>
    <w:p>
      <w:pPr>
        <w:keepNext/>
        <w:spacing w:before="140" w:after="80" w:line="240" w:lineRule="auto"/>
        <w:pBdr>
          <w:bottom w:val="single" w:sz="10" w:space="2" w:color="1F4E79"/>
        </w:pBdr>
      </w:pPr>
      <w:r>
        <w:rPr>
          <w:rFonts w:ascii="Arial" w:hAnsi="Arial"/>
          <w:b/>
          <w:i w:val="0"/>
          <w:color w:val="1F4E79"/>
          <w:sz w:val="22"/>
        </w:rPr>
        <w:t>PROFESSIONAL EXPERIENCE</w:t>
      </w:r>
    </w:p>
    <w:p>
      <w:pPr>
        <w:keepNext/>
        <w:spacing w:before="0" w:after="0" w:line="240" w:lineRule="auto"/>
      </w:pPr>
      <w:r>
        <w:rPr>
          <w:rFonts w:ascii="Arial" w:hAnsi="Arial"/>
          <w:b/>
          <w:i w:val="0"/>
          <w:sz w:val="21"/>
        </w:rPr>
        <w:t>ACCENTURE SOLUTIONS PVT. LTD.</w:t>
      </w:r>
      <w:r>
        <w:rPr>
          <w:rFonts w:ascii="Arial" w:hAnsi="Arial"/>
          <w:b w:val="0"/>
          <w:i w:val="0"/>
          <w:sz w:val="20"/>
        </w:rPr>
        <w:t xml:space="preserve"> - Cloud, DevOps &amp; GenAI Engineer</w:t>
      </w:r>
    </w:p>
    <w:p>
      <w:pPr>
        <w:keepNext/>
        <w:spacing w:before="0" w:after="40" w:line="240" w:lineRule="auto"/>
      </w:pPr>
      <w:r>
        <w:rPr>
          <w:rFonts w:ascii="Arial" w:hAnsi="Arial"/>
          <w:b w:val="0"/>
          <w:i w:val="0"/>
          <w:color w:val="666666"/>
          <w:sz w:val="19"/>
        </w:rPr>
        <w:t>Bengaluru, India  |  2021 - 2026</w:t>
      </w:r>
    </w:p>
    <w:p>
      <w:pPr>
        <w:keepNext/>
        <w:spacing w:before="80" w:after="50" w:line="240" w:lineRule="auto"/>
      </w:pPr>
      <w:r>
        <w:rPr>
          <w:rFonts w:ascii="Arial" w:hAnsi="Arial"/>
          <w:b/>
          <w:i w:val="0"/>
          <w:sz w:val="20"/>
        </w:rPr>
        <w:t>Aramco Digital</w:t>
      </w:r>
      <w:r>
        <w:rPr>
          <w:rFonts w:ascii="Arial" w:hAnsi="Arial"/>
          <w:b w:val="0"/>
          <w:i w:val="0"/>
          <w:color w:val="666666"/>
          <w:sz w:val="19"/>
        </w:rPr>
        <w:t xml:space="preserve">  |  Centralized CI/CD Operations - OCI Primary, Azure Secondary</w:t>
      </w:r>
    </w:p>
    <w:p>
      <w:pPr>
        <w:pStyle w:val="ListBullet"/>
        <w:spacing w:before="0" w:after="44" w:line="254" w:lineRule="auto"/>
        <w:ind w:left="259" w:hanging="173"/>
      </w:pPr>
      <w:r>
        <w:rPr>
          <w:rFonts w:ascii="Arial" w:hAnsi="Arial"/>
          <w:b/>
          <w:i w:val="0"/>
          <w:sz w:val="19"/>
        </w:rPr>
        <w:t xml:space="preserve">CI/CD tools administration - </w:t>
      </w:r>
      <w:r>
        <w:rPr>
          <w:rFonts w:ascii="Arial" w:hAnsi="Arial"/>
          <w:b w:val="0"/>
          <w:i w:val="0"/>
          <w:sz w:val="19"/>
        </w:rPr>
        <w:t>administered and supported GitHub (SaaS), GitHub Actions, GitLab, Jenkins and Azure DevOps as part of a centralized DevOps operations program onboarding 40+ business verticals, serving a large developer base with varied application stacks and tool preferences.</w:t>
      </w:r>
    </w:p>
    <w:p>
      <w:pPr>
        <w:pStyle w:val="ListBullet"/>
        <w:spacing w:before="0" w:after="44" w:line="254" w:lineRule="auto"/>
        <w:ind w:left="259" w:hanging="173"/>
      </w:pPr>
      <w:r>
        <w:rPr>
          <w:rFonts w:ascii="Arial" w:hAnsi="Arial"/>
          <w:b/>
          <w:i w:val="0"/>
          <w:sz w:val="19"/>
        </w:rPr>
        <w:t xml:space="preserve">CI/CD infrastructure management - </w:t>
      </w:r>
      <w:r>
        <w:rPr>
          <w:rFonts w:ascii="Arial" w:hAnsi="Arial"/>
          <w:b w:val="0"/>
          <w:i w:val="0"/>
          <w:sz w:val="19"/>
        </w:rPr>
        <w:t>provisioned and managed CI/CD infrastructure on VMs and Kubernetes (AKS) across OCI and Azure through Terraform, keeping deployment patterns cloud-agnostic and on-premise portable.</w:t>
      </w:r>
    </w:p>
    <w:p>
      <w:pPr>
        <w:pStyle w:val="ListBullet"/>
        <w:spacing w:before="0" w:after="44" w:line="254" w:lineRule="auto"/>
        <w:ind w:left="259" w:hanging="173"/>
      </w:pPr>
      <w:r>
        <w:rPr>
          <w:rFonts w:ascii="Arial" w:hAnsi="Arial"/>
          <w:b/>
          <w:i w:val="0"/>
          <w:sz w:val="19"/>
        </w:rPr>
        <w:t xml:space="preserve">Incident &amp; change operations - </w:t>
      </w:r>
      <w:r>
        <w:rPr>
          <w:rFonts w:ascii="Arial" w:hAnsi="Arial"/>
          <w:b w:val="0"/>
          <w:i w:val="0"/>
          <w:sz w:val="19"/>
        </w:rPr>
        <w:t>responded to user-reported and alert-driven incidents on CI/CD tooling, and executed change tasks, upgrades, environment onboarding and post-change validation within agreed SLAs.</w:t>
      </w:r>
    </w:p>
    <w:p>
      <w:pPr>
        <w:pStyle w:val="ListBullet"/>
        <w:spacing w:before="0" w:after="44" w:line="254" w:lineRule="auto"/>
        <w:ind w:left="259" w:hanging="173"/>
      </w:pPr>
      <w:r>
        <w:rPr>
          <w:rFonts w:ascii="Arial" w:hAnsi="Arial"/>
          <w:b/>
          <w:i w:val="0"/>
          <w:sz w:val="19"/>
        </w:rPr>
        <w:t xml:space="preserve">Monitoring &amp; alerting - </w:t>
      </w:r>
      <w:r>
        <w:rPr>
          <w:rFonts w:ascii="Arial" w:hAnsi="Arial"/>
          <w:b w:val="0"/>
          <w:i w:val="0"/>
          <w:sz w:val="19"/>
        </w:rPr>
        <w:t>used Dynatrace alongside Grafana dashboards and Prometheus alert rules for pipeline, runner and infrastructure health; performed log analysis for root-cause investigation and stability tracking.</w:t>
      </w:r>
    </w:p>
    <w:p>
      <w:pPr>
        <w:pStyle w:val="ListBullet"/>
        <w:spacing w:before="0" w:after="44" w:line="254" w:lineRule="auto"/>
        <w:ind w:left="259" w:hanging="173"/>
      </w:pPr>
      <w:r>
        <w:rPr>
          <w:rFonts w:ascii="Arial" w:hAnsi="Arial"/>
          <w:b/>
          <w:i w:val="0"/>
          <w:sz w:val="19"/>
        </w:rPr>
        <w:t xml:space="preserve">Artifact &amp; secrets management - </w:t>
      </w:r>
      <w:r>
        <w:rPr>
          <w:rFonts w:ascii="Arial" w:hAnsi="Arial"/>
          <w:b w:val="0"/>
          <w:i w:val="0"/>
          <w:sz w:val="19"/>
        </w:rPr>
        <w:t>supported Sonatype Nexus repositories and cloud container registries; managed secrets through OCI Vault and Azure Key Vault.</w:t>
      </w:r>
    </w:p>
    <w:p>
      <w:pPr>
        <w:pStyle w:val="ListBullet"/>
        <w:spacing w:before="0" w:after="44" w:line="254" w:lineRule="auto"/>
        <w:ind w:left="259" w:hanging="173"/>
      </w:pPr>
      <w:r>
        <w:rPr>
          <w:rFonts w:ascii="Arial" w:hAnsi="Arial"/>
          <w:b/>
          <w:i w:val="0"/>
          <w:sz w:val="19"/>
        </w:rPr>
        <w:t xml:space="preserve">Stakeholder coordination - </w:t>
      </w:r>
      <w:r>
        <w:rPr>
          <w:rFonts w:ascii="Arial" w:hAnsi="Arial"/>
          <w:b w:val="0"/>
          <w:i w:val="0"/>
          <w:sz w:val="19"/>
        </w:rPr>
        <w:t>worked closely with engineering, platform and security teams across verticals to onboard pipelines, resolve issues and maintain system availability.</w:t>
      </w:r>
    </w:p>
    <w:p>
      <w:pPr>
        <w:keepNext/>
        <w:pageBreakBefore/>
        <w:spacing w:before="80" w:after="50" w:line="240" w:lineRule="auto"/>
      </w:pPr>
      <w:r>
        <w:rPr>
          <w:rFonts w:ascii="Arial" w:hAnsi="Arial"/>
          <w:b/>
          <w:i w:val="0"/>
          <w:sz w:val="20"/>
        </w:rPr>
        <w:t>NEOM</w:t>
      </w:r>
      <w:r>
        <w:rPr>
          <w:rFonts w:ascii="Arial" w:hAnsi="Arial"/>
          <w:b w:val="0"/>
          <w:i w:val="0"/>
          <w:color w:val="666666"/>
          <w:sz w:val="19"/>
        </w:rPr>
        <w:t xml:space="preserve">  |  Oracle Cloud Infrastructure - Cloud-Agnostic DevOps</w:t>
      </w:r>
    </w:p>
    <w:p>
      <w:pPr>
        <w:pStyle w:val="ListBullet"/>
        <w:spacing w:before="0" w:after="44" w:line="254" w:lineRule="auto"/>
        <w:ind w:left="259" w:hanging="173"/>
      </w:pPr>
      <w:r>
        <w:rPr>
          <w:rFonts w:ascii="Arial" w:hAnsi="Arial"/>
          <w:b/>
          <w:i w:val="0"/>
          <w:sz w:val="19"/>
        </w:rPr>
        <w:t xml:space="preserve">Cloud-agnostic operations - </w:t>
      </w:r>
      <w:r>
        <w:rPr>
          <w:rFonts w:ascii="Arial" w:hAnsi="Arial"/>
          <w:b w:val="0"/>
          <w:i w:val="0"/>
          <w:sz w:val="19"/>
        </w:rPr>
        <w:t>supported OCI-hosted environments while maintaining a largely cloud-agnostic CI/CD toolchain; provisioned infrastructure through Terraform with OCI Vault, Oracle Container Registry and OCI Kubernetes.</w:t>
      </w:r>
    </w:p>
    <w:p>
      <w:pPr>
        <w:pStyle w:val="ListBullet"/>
        <w:spacing w:before="0" w:after="44" w:line="254" w:lineRule="auto"/>
        <w:ind w:left="259" w:hanging="173"/>
      </w:pPr>
      <w:r>
        <w:rPr>
          <w:rFonts w:ascii="Arial" w:hAnsi="Arial"/>
          <w:b/>
          <w:i w:val="0"/>
          <w:sz w:val="19"/>
        </w:rPr>
        <w:t xml:space="preserve">Deployment support - </w:t>
      </w:r>
      <w:r>
        <w:rPr>
          <w:rFonts w:ascii="Arial" w:hAnsi="Arial"/>
          <w:b w:val="0"/>
          <w:i w:val="0"/>
          <w:sz w:val="19"/>
        </w:rPr>
        <w:t>supported Docker/Kubernetes and Helm deployments, CI/CD execution, environment configuration, release validation and issue resolution.</w:t>
      </w:r>
    </w:p>
    <w:p>
      <w:pPr>
        <w:pStyle w:val="ListBullet"/>
        <w:spacing w:before="0" w:after="44" w:line="254" w:lineRule="auto"/>
        <w:ind w:left="259" w:hanging="173"/>
      </w:pPr>
      <w:r>
        <w:rPr>
          <w:rFonts w:ascii="Arial" w:hAnsi="Arial"/>
          <w:b/>
          <w:i w:val="0"/>
          <w:sz w:val="19"/>
        </w:rPr>
        <w:t xml:space="preserve">Runbooks - </w:t>
      </w:r>
      <w:r>
        <w:rPr>
          <w:rFonts w:ascii="Arial" w:hAnsi="Arial"/>
          <w:b w:val="0"/>
          <w:i w:val="0"/>
          <w:sz w:val="19"/>
        </w:rPr>
        <w:t>created and maintained operational runbooks for recurring deployment steps and standard incident categories to reduce resolution time.</w:t>
      </w:r>
    </w:p>
    <w:p>
      <w:pPr>
        <w:keepNext/>
        <w:spacing w:before="80" w:after="50" w:line="240" w:lineRule="auto"/>
      </w:pPr>
      <w:r>
        <w:rPr>
          <w:rFonts w:ascii="Arial" w:hAnsi="Arial"/>
          <w:b/>
          <w:i w:val="0"/>
          <w:sz w:val="20"/>
        </w:rPr>
        <w:t>Fisher Investments</w:t>
      </w:r>
      <w:r>
        <w:rPr>
          <w:rFonts w:ascii="Arial" w:hAnsi="Arial"/>
          <w:b w:val="0"/>
          <w:i w:val="0"/>
          <w:color w:val="666666"/>
          <w:sz w:val="19"/>
        </w:rPr>
        <w:t xml:space="preserve">  |  Azure Production Deployment</w:t>
      </w:r>
    </w:p>
    <w:p>
      <w:pPr>
        <w:pStyle w:val="ListBullet"/>
        <w:spacing w:before="0" w:after="44" w:line="254" w:lineRule="auto"/>
        <w:ind w:left="259" w:hanging="173"/>
      </w:pPr>
      <w:r>
        <w:rPr>
          <w:rFonts w:ascii="Arial" w:hAnsi="Arial"/>
          <w:b/>
          <w:i w:val="0"/>
          <w:sz w:val="19"/>
        </w:rPr>
        <w:t xml:space="preserve">Production changes - </w:t>
      </w:r>
      <w:r>
        <w:rPr>
          <w:rFonts w:ascii="Arial" w:hAnsi="Arial"/>
          <w:b w:val="0"/>
          <w:i w:val="0"/>
          <w:sz w:val="19"/>
        </w:rPr>
        <w:t>executed Terraform-based Azure production changes - new resource provisioning, upgrades, cleanup and controlled configuration updates - under formal change management.</w:t>
      </w:r>
    </w:p>
    <w:p>
      <w:pPr>
        <w:pStyle w:val="ListBullet"/>
        <w:spacing w:before="0" w:after="44" w:line="254" w:lineRule="auto"/>
        <w:ind w:left="259" w:hanging="173"/>
      </w:pPr>
      <w:r>
        <w:rPr>
          <w:rFonts w:ascii="Arial" w:hAnsi="Arial"/>
          <w:b/>
          <w:i w:val="0"/>
          <w:sz w:val="19"/>
        </w:rPr>
        <w:t xml:space="preserve">Release governance - </w:t>
      </w:r>
      <w:r>
        <w:rPr>
          <w:rFonts w:ascii="Arial" w:hAnsi="Arial"/>
          <w:b w:val="0"/>
          <w:i w:val="0"/>
          <w:sz w:val="19"/>
        </w:rPr>
        <w:t>supported deployment planning, release validation, troubleshooting and post-change checks; used Ansible for repeatable operational tasks.</w:t>
      </w:r>
    </w:p>
    <w:p>
      <w:pPr>
        <w:keepNext/>
        <w:spacing w:before="80" w:after="50" w:line="240" w:lineRule="auto"/>
      </w:pPr>
      <w:r>
        <w:rPr>
          <w:rFonts w:ascii="Arial" w:hAnsi="Arial"/>
          <w:b/>
          <w:i w:val="0"/>
          <w:sz w:val="20"/>
        </w:rPr>
        <w:t>Brighthouse Financial</w:t>
      </w:r>
      <w:r>
        <w:rPr>
          <w:rFonts w:ascii="Arial" w:hAnsi="Arial"/>
          <w:b w:val="0"/>
          <w:i w:val="0"/>
          <w:color w:val="666666"/>
          <w:sz w:val="19"/>
        </w:rPr>
        <w:t xml:space="preserve">  |  Azure Production Deployment</w:t>
      </w:r>
    </w:p>
    <w:p>
      <w:pPr>
        <w:pStyle w:val="ListBullet"/>
        <w:spacing w:before="0" w:after="44" w:line="254" w:lineRule="auto"/>
        <w:ind w:left="259" w:hanging="173"/>
      </w:pPr>
      <w:r>
        <w:rPr>
          <w:rFonts w:ascii="Arial" w:hAnsi="Arial"/>
          <w:b/>
          <w:i w:val="0"/>
          <w:sz w:val="19"/>
        </w:rPr>
        <w:t xml:space="preserve">Lifecycle management - </w:t>
      </w:r>
      <w:r>
        <w:rPr>
          <w:rFonts w:ascii="Arial" w:hAnsi="Arial"/>
          <w:b w:val="0"/>
          <w:i w:val="0"/>
          <w:sz w:val="19"/>
        </w:rPr>
        <w:t>supported Azure production infrastructure lifecycle through Terraform - provisioning, upgrades, cleanup and environment changes across release cycles.</w:t>
      </w:r>
    </w:p>
    <w:p>
      <w:pPr>
        <w:pStyle w:val="ListBullet"/>
        <w:spacing w:before="0" w:after="44" w:line="254" w:lineRule="auto"/>
        <w:ind w:left="259" w:hanging="173"/>
      </w:pPr>
      <w:r>
        <w:rPr>
          <w:rFonts w:ascii="Arial" w:hAnsi="Arial"/>
          <w:b/>
          <w:i w:val="0"/>
          <w:sz w:val="19"/>
        </w:rPr>
        <w:t xml:space="preserve">Release coordination - </w:t>
      </w:r>
      <w:r>
        <w:rPr>
          <w:rFonts w:ascii="Arial" w:hAnsi="Arial"/>
          <w:b w:val="0"/>
          <w:i w:val="0"/>
          <w:sz w:val="19"/>
        </w:rPr>
        <w:t>coordinated deployment execution, configuration updates, validation and issue resolution, including scheduled release-window coverage.</w:t>
      </w:r>
    </w:p>
    <w:p>
      <w:pPr>
        <w:keepNext/>
        <w:spacing w:before="140" w:after="80" w:line="240" w:lineRule="auto"/>
        <w:pBdr>
          <w:bottom w:val="single" w:sz="10" w:space="2" w:color="1F4E79"/>
        </w:pBdr>
      </w:pPr>
      <w:r>
        <w:rPr>
          <w:rFonts w:ascii="Arial" w:hAnsi="Arial"/>
          <w:b/>
          <w:i w:val="0"/>
          <w:color w:val="1F4E79"/>
          <w:sz w:val="22"/>
        </w:rPr>
        <w:t>INNOVATION &amp; SELECTED CONTRIBUTIONS</w:t>
      </w:r>
    </w:p>
    <w:p>
      <w:pPr>
        <w:keepNext/>
        <w:spacing w:before="0" w:after="20" w:line="240" w:lineRule="auto"/>
      </w:pPr>
      <w:r>
        <w:rPr>
          <w:rFonts w:ascii="Arial" w:hAnsi="Arial"/>
          <w:b/>
          <w:i w:val="0"/>
          <w:sz w:val="20"/>
        </w:rPr>
        <w:t>OpenSCAP Compliance Automation</w:t>
      </w:r>
    </w:p>
    <w:p>
      <w:pPr>
        <w:pStyle w:val="ListBullet"/>
        <w:spacing w:before="0" w:after="44" w:line="254" w:lineRule="auto"/>
        <w:ind w:left="259" w:hanging="173"/>
      </w:pPr>
      <w:r>
        <w:rPr>
          <w:rFonts w:ascii="Arial" w:hAnsi="Arial"/>
          <w:b/>
          <w:i w:val="0"/>
          <w:sz w:val="19"/>
        </w:rPr>
      </w:r>
      <w:r>
        <w:rPr>
          <w:rFonts w:ascii="Arial" w:hAnsi="Arial"/>
          <w:b w:val="0"/>
          <w:i w:val="0"/>
          <w:sz w:val="19"/>
        </w:rPr>
        <w:t>Automated repeatable OpenSCAP vulnerability and compliance scanning with supporting execution and reporting steps; integrated Trivy, SonarQube and Sonatype Nexus into DevSecOps workflows.</w:t>
      </w:r>
    </w:p>
    <w:p>
      <w:pPr>
        <w:keepNext/>
        <w:spacing w:before="40" w:after="20" w:line="240" w:lineRule="auto"/>
      </w:pPr>
      <w:r>
        <w:rPr>
          <w:rFonts w:ascii="Arial" w:hAnsi="Arial"/>
          <w:b/>
          <w:i w:val="0"/>
          <w:sz w:val="20"/>
        </w:rPr>
        <w:t>GenAI Fundamentals - RAG &amp; AI-Assisted Engineering</w:t>
      </w:r>
    </w:p>
    <w:p>
      <w:pPr>
        <w:pStyle w:val="ListBullet"/>
        <w:spacing w:before="0" w:after="44" w:line="254" w:lineRule="auto"/>
        <w:ind w:left="259" w:hanging="173"/>
      </w:pPr>
      <w:r>
        <w:rPr>
          <w:rFonts w:ascii="Arial" w:hAnsi="Arial"/>
          <w:b/>
          <w:i w:val="0"/>
          <w:sz w:val="19"/>
        </w:rPr>
      </w:r>
      <w:r>
        <w:rPr>
          <w:rFonts w:ascii="Arial" w:hAnsi="Arial"/>
          <w:b w:val="0"/>
          <w:i w:val="0"/>
          <w:sz w:val="19"/>
        </w:rPr>
        <w:t>Researched and supported RAG workflows using Azure AI Foundry and Ollama - document ingestion, chunking, embeddings, indexing, retrieval and grounded response generation - with hands-on prompt engineering.</w:t>
      </w:r>
    </w:p>
    <w:p>
      <w:pPr>
        <w:pStyle w:val="ListBullet"/>
        <w:spacing w:before="0" w:after="44" w:line="254" w:lineRule="auto"/>
        <w:ind w:left="259" w:hanging="173"/>
      </w:pPr>
      <w:r>
        <w:rPr>
          <w:rFonts w:ascii="Arial" w:hAnsi="Arial"/>
          <w:b/>
          <w:i w:val="0"/>
          <w:sz w:val="19"/>
        </w:rPr>
      </w:r>
      <w:r>
        <w:rPr>
          <w:rFonts w:ascii="Arial" w:hAnsi="Arial"/>
          <w:b w:val="0"/>
          <w:i w:val="0"/>
          <w:sz w:val="19"/>
        </w:rPr>
        <w:t>Exposure to Cohere, Llama and Gemma model families in research and internal settings (non-production); supported Kubernetes/Helm deployment patterns, RabbitMQ queuing and air-gapped artifact handling.</w:t>
      </w:r>
    </w:p>
    <w:p>
      <w:pPr>
        <w:pStyle w:val="ListBullet"/>
        <w:spacing w:before="0" w:after="44" w:line="254" w:lineRule="auto"/>
        <w:ind w:left="259" w:hanging="173"/>
      </w:pPr>
      <w:r>
        <w:rPr>
          <w:rFonts w:ascii="Arial" w:hAnsi="Arial"/>
          <w:b/>
          <w:i w:val="0"/>
          <w:sz w:val="19"/>
        </w:rPr>
      </w:r>
      <w:r>
        <w:rPr>
          <w:rFonts w:ascii="Arial" w:hAnsi="Arial"/>
          <w:b w:val="0"/>
          <w:i w:val="0"/>
          <w:sz w:val="19"/>
        </w:rPr>
        <w:t>Uses Claude Code, GitHub Copilot and OpenAI Codex daily for scripting, automation and research, with additional exposure to AI agents and Copilot Studio.</w:t>
      </w:r>
    </w:p>
    <w:p>
      <w:pPr>
        <w:keepNext/>
        <w:spacing w:before="140" w:after="80" w:line="240" w:lineRule="auto"/>
        <w:pBdr>
          <w:bottom w:val="single" w:sz="10" w:space="2" w:color="1F4E79"/>
        </w:pBdr>
      </w:pPr>
      <w:r>
        <w:rPr>
          <w:rFonts w:ascii="Arial" w:hAnsi="Arial"/>
          <w:b/>
          <w:i w:val="0"/>
          <w:color w:val="1F4E79"/>
          <w:sz w:val="22"/>
        </w:rPr>
        <w:t>CERTIFICATIONS</w:t>
      </w:r>
    </w:p>
    <w:tbl>
      <w:tblPr>
        <w:tblW w:type="auto" w:w="0"/>
        <w:jc w:val="center"/>
        <w:tblLayout w:type="fixed"/>
        <w:tblLook w:firstColumn="1" w:firstRow="1" w:lastColumn="0" w:lastRow="0" w:noHBand="0" w:noVBand="1" w:val="04A0"/>
      </w:tblPr>
      <w:tblGrid>
        <w:gridCol w:w="5198"/>
        <w:gridCol w:w="5198"/>
      </w:tblGrid>
      <w:tr>
        <w:trPr>
          <w:cantSplit/>
        </w:trPr>
        <w:tc>
          <w:tcPr>
            <w:tcW w:type="dxa" w:w="5263"/>
            <w:tcMar>
              <w:top w:w="12" w:type="dxa"/>
              <w:start w:w="45" w:type="dxa"/>
              <w:bottom w:w="12" w:type="dxa"/>
              <w:end w:w="45" w:type="dxa"/>
            </w:tcMar>
            <w:tcBorders>
              <w:top w:val="nil"/>
              <w:left w:val="nil"/>
              <w:bottom w:val="single" w:sz="3" w:color="888888"/>
              <w:right w:val="nil"/>
            </w:tcBorders>
          </w:tcPr>
          <w:p>
            <w:pPr>
              <w:spacing w:before="0" w:after="0" w:line="240" w:lineRule="auto"/>
            </w:pPr>
            <w:r>
              <w:rPr>
                <w:rFonts w:ascii="Arial" w:hAnsi="Arial"/>
                <w:b/>
                <w:i w:val="0"/>
                <w:color w:val="1F4E79"/>
                <w:sz w:val="20"/>
              </w:rPr>
              <w:t xml:space="preserve">• </w:t>
            </w:r>
            <w:r>
              <w:rPr>
                <w:rFonts w:ascii="Arial" w:hAnsi="Arial"/>
                <w:b w:val="0"/>
                <w:i w:val="0"/>
                <w:sz w:val="18"/>
              </w:rPr>
              <w:t>AI-102 - Azure AI Engineer Associate</w:t>
            </w:r>
          </w:p>
        </w:tc>
        <w:tc>
          <w:tcPr>
            <w:tcW w:type="dxa" w:w="5263"/>
            <w:tcMar>
              <w:top w:w="12" w:type="dxa"/>
              <w:start w:w="45" w:type="dxa"/>
              <w:bottom w:w="12" w:type="dxa"/>
              <w:end w:w="45" w:type="dxa"/>
            </w:tcMar>
            <w:tcBorders>
              <w:top w:val="nil"/>
              <w:left w:val="nil"/>
              <w:bottom w:val="single" w:sz="3" w:color="888888"/>
              <w:right w:val="nil"/>
            </w:tcBorders>
          </w:tcPr>
          <w:p>
            <w:pPr>
              <w:spacing w:before="0" w:after="0" w:line="240" w:lineRule="auto"/>
            </w:pPr>
            <w:r>
              <w:rPr>
                <w:rFonts w:ascii="Arial" w:hAnsi="Arial"/>
                <w:b/>
                <w:i w:val="0"/>
                <w:color w:val="1F4E79"/>
                <w:sz w:val="20"/>
              </w:rPr>
              <w:t xml:space="preserve">• </w:t>
            </w:r>
            <w:r>
              <w:rPr>
                <w:rFonts w:ascii="Arial" w:hAnsi="Arial"/>
                <w:b w:val="0"/>
                <w:i w:val="0"/>
                <w:sz w:val="18"/>
              </w:rPr>
              <w:t>AZ-400 - DevOps Engineer Expert</w:t>
            </w:r>
          </w:p>
        </w:tc>
      </w:tr>
      <w:tr>
        <w:trPr>
          <w:cantSplit/>
        </w:trPr>
        <w:tc>
          <w:tcPr>
            <w:tcW w:type="dxa" w:w="5263"/>
            <w:tcMar>
              <w:top w:w="12" w:type="dxa"/>
              <w:start w:w="45" w:type="dxa"/>
              <w:bottom w:w="12" w:type="dxa"/>
              <w:end w:w="45" w:type="dxa"/>
            </w:tcMar>
            <w:tcBorders>
              <w:top w:val="nil"/>
              <w:left w:val="nil"/>
              <w:bottom w:val="single" w:sz="3" w:color="888888"/>
              <w:right w:val="nil"/>
            </w:tcBorders>
          </w:tcPr>
          <w:p>
            <w:pPr>
              <w:spacing w:before="0" w:after="0" w:line="240" w:lineRule="auto"/>
            </w:pPr>
            <w:r>
              <w:rPr>
                <w:rFonts w:ascii="Arial" w:hAnsi="Arial"/>
                <w:b/>
                <w:i w:val="0"/>
                <w:color w:val="1F4E79"/>
                <w:sz w:val="20"/>
              </w:rPr>
              <w:t xml:space="preserve">• </w:t>
            </w:r>
            <w:r>
              <w:rPr>
                <w:rFonts w:ascii="Arial" w:hAnsi="Arial"/>
                <w:b w:val="0"/>
                <w:i w:val="0"/>
                <w:sz w:val="18"/>
              </w:rPr>
              <w:t>AZ-104 - Azure Administrator Associate</w:t>
            </w:r>
          </w:p>
        </w:tc>
        <w:tc>
          <w:tcPr>
            <w:tcW w:type="dxa" w:w="5263"/>
            <w:tcMar>
              <w:top w:w="12" w:type="dxa"/>
              <w:start w:w="45" w:type="dxa"/>
              <w:bottom w:w="12" w:type="dxa"/>
              <w:end w:w="45" w:type="dxa"/>
            </w:tcMar>
            <w:tcBorders>
              <w:top w:val="nil"/>
              <w:left w:val="nil"/>
              <w:bottom w:val="single" w:sz="3" w:color="888888"/>
              <w:right w:val="nil"/>
            </w:tcBorders>
          </w:tcPr>
          <w:p>
            <w:pPr>
              <w:spacing w:before="0" w:after="0" w:line="240" w:lineRule="auto"/>
            </w:pPr>
            <w:r>
              <w:rPr>
                <w:rFonts w:ascii="Arial" w:hAnsi="Arial"/>
                <w:b/>
                <w:i w:val="0"/>
                <w:color w:val="1F4E79"/>
                <w:sz w:val="20"/>
              </w:rPr>
              <w:t xml:space="preserve">• </w:t>
            </w:r>
            <w:r>
              <w:rPr>
                <w:rFonts w:ascii="Arial" w:hAnsi="Arial"/>
                <w:b w:val="0"/>
                <w:i w:val="0"/>
                <w:sz w:val="18"/>
              </w:rPr>
              <w:t>GH-200 - GitHub Actions</w:t>
            </w:r>
          </w:p>
        </w:tc>
      </w:tr>
      <w:tr>
        <w:trPr>
          <w:cantSplit/>
        </w:trPr>
        <w:tc>
          <w:tcPr>
            <w:tcW w:type="dxa" w:w="5263"/>
            <w:tcMar>
              <w:top w:w="12" w:type="dxa"/>
              <w:start w:w="45" w:type="dxa"/>
              <w:bottom w:w="12" w:type="dxa"/>
              <w:end w:w="45" w:type="dxa"/>
            </w:tcMar>
            <w:tcBorders>
              <w:top w:val="nil"/>
              <w:left w:val="nil"/>
              <w:bottom w:val="single" w:sz="3" w:color="888888"/>
              <w:right w:val="nil"/>
            </w:tcBorders>
          </w:tcPr>
          <w:p>
            <w:pPr>
              <w:spacing w:before="0" w:after="0" w:line="240" w:lineRule="auto"/>
            </w:pPr>
            <w:r>
              <w:rPr>
                <w:rFonts w:ascii="Arial" w:hAnsi="Arial"/>
                <w:b/>
                <w:i w:val="0"/>
                <w:color w:val="1F4E79"/>
                <w:sz w:val="20"/>
              </w:rPr>
              <w:t xml:space="preserve">• </w:t>
            </w:r>
            <w:r>
              <w:rPr>
                <w:rFonts w:ascii="Arial" w:hAnsi="Arial"/>
                <w:b w:val="0"/>
                <w:i w:val="0"/>
                <w:sz w:val="18"/>
              </w:rPr>
              <w:t>GH-300 - GitHub Copilot</w:t>
            </w:r>
          </w:p>
        </w:tc>
        <w:tc>
          <w:tcPr>
            <w:tcW w:type="dxa" w:w="5263"/>
            <w:tcMar>
              <w:top w:w="12" w:type="dxa"/>
              <w:start w:w="45" w:type="dxa"/>
              <w:bottom w:w="12" w:type="dxa"/>
              <w:end w:w="45" w:type="dxa"/>
            </w:tcMar>
            <w:tcBorders>
              <w:top w:val="nil"/>
              <w:left w:val="nil"/>
              <w:bottom w:val="single" w:sz="3" w:color="888888"/>
              <w:right w:val="nil"/>
            </w:tcBorders>
          </w:tcPr>
          <w:p>
            <w:pPr>
              <w:spacing w:before="0" w:after="0" w:line="240" w:lineRule="auto"/>
            </w:pPr>
            <w:r>
              <w:rPr>
                <w:rFonts w:ascii="Arial" w:hAnsi="Arial"/>
                <w:b/>
                <w:i w:val="0"/>
                <w:color w:val="1F4E79"/>
                <w:sz w:val="20"/>
              </w:rPr>
              <w:t xml:space="preserve">• </w:t>
            </w:r>
            <w:r>
              <w:rPr>
                <w:rFonts w:ascii="Arial" w:hAnsi="Arial"/>
                <w:b w:val="0"/>
                <w:i w:val="0"/>
                <w:sz w:val="18"/>
              </w:rPr>
              <w:t>SC-900 - Security, Compliance &amp; Identity</w:t>
            </w:r>
          </w:p>
        </w:tc>
      </w:tr>
      <w:tr>
        <w:trPr>
          <w:cantSplit/>
        </w:trPr>
        <w:tc>
          <w:tcPr>
            <w:tcW w:type="dxa" w:w="5263"/>
            <w:tcMar>
              <w:top w:w="12" w:type="dxa"/>
              <w:start w:w="45" w:type="dxa"/>
              <w:bottom w:w="12" w:type="dxa"/>
              <w:end w:w="45" w:type="dxa"/>
            </w:tcMar>
            <w:tcBorders>
              <w:top w:val="nil"/>
              <w:left w:val="nil"/>
              <w:bottom w:val="single" w:sz="3" w:color="888888"/>
              <w:right w:val="nil"/>
            </w:tcBorders>
          </w:tcPr>
          <w:p>
            <w:pPr>
              <w:spacing w:before="0" w:after="0" w:line="240" w:lineRule="auto"/>
            </w:pPr>
            <w:r>
              <w:rPr>
                <w:rFonts w:ascii="Arial" w:hAnsi="Arial"/>
                <w:b/>
                <w:i w:val="0"/>
                <w:color w:val="1F4E79"/>
                <w:sz w:val="20"/>
              </w:rPr>
              <w:t xml:space="preserve">• </w:t>
            </w:r>
            <w:r>
              <w:rPr>
                <w:rFonts w:ascii="Arial" w:hAnsi="Arial"/>
                <w:b w:val="0"/>
                <w:i w:val="0"/>
                <w:sz w:val="18"/>
              </w:rPr>
              <w:t>AZ-900 - Azure Fundamentals</w:t>
            </w:r>
          </w:p>
        </w:tc>
        <w:tc>
          <w:tcPr>
            <w:tcW w:type="dxa" w:w="5263"/>
            <w:tcMar>
              <w:top w:w="12" w:type="dxa"/>
              <w:start w:w="45" w:type="dxa"/>
              <w:bottom w:w="12" w:type="dxa"/>
              <w:end w:w="45" w:type="dxa"/>
            </w:tcMar>
            <w:tcBorders>
              <w:top w:val="nil"/>
              <w:left w:val="nil"/>
              <w:bottom w:val="single" w:sz="3" w:color="888888"/>
              <w:right w:val="nil"/>
            </w:tcBorders>
          </w:tcPr>
          <w:p>
            <w:pPr>
              <w:spacing w:before="0" w:after="0" w:line="240" w:lineRule="auto"/>
            </w:pPr>
            <w:r>
              <w:rPr>
                <w:rFonts w:ascii="Arial" w:hAnsi="Arial"/>
                <w:b/>
                <w:i w:val="0"/>
                <w:color w:val="1F4E79"/>
                <w:sz w:val="20"/>
              </w:rPr>
              <w:t xml:space="preserve">• </w:t>
            </w:r>
            <w:r>
              <w:rPr>
                <w:rFonts w:ascii="Arial" w:hAnsi="Arial"/>
                <w:b w:val="0"/>
                <w:i w:val="0"/>
                <w:sz w:val="18"/>
              </w:rPr>
              <w:t>MS-102 - Microsoft 365 Administrator</w:t>
            </w:r>
          </w:p>
        </w:tc>
      </w:tr>
      <w:tr>
        <w:trPr>
          <w:cantSplit/>
        </w:trPr>
        <w:tc>
          <w:tcPr>
            <w:tcW w:type="dxa" w:w="5263"/>
            <w:tcMar>
              <w:top w:w="12" w:type="dxa"/>
              <w:start w:w="45" w:type="dxa"/>
              <w:bottom w:w="12" w:type="dxa"/>
              <w:end w:w="45" w:type="dxa"/>
            </w:tcMar>
            <w:tcBorders>
              <w:top w:val="nil"/>
              <w:left w:val="nil"/>
              <w:bottom w:val="nil"/>
              <w:right w:val="nil"/>
            </w:tcBorders>
          </w:tcPr>
          <w:p>
            <w:pPr>
              <w:spacing w:before="0" w:after="0" w:line="240" w:lineRule="auto"/>
            </w:pPr>
            <w:r>
              <w:rPr>
                <w:rFonts w:ascii="Arial" w:hAnsi="Arial"/>
                <w:b/>
                <w:i w:val="0"/>
                <w:color w:val="1F4E79"/>
                <w:sz w:val="20"/>
              </w:rPr>
              <w:t xml:space="preserve">• </w:t>
            </w:r>
            <w:r>
              <w:rPr>
                <w:rFonts w:ascii="Arial" w:hAnsi="Arial"/>
                <w:b w:val="0"/>
                <w:i w:val="0"/>
                <w:sz w:val="18"/>
              </w:rPr>
              <w:t>MS-900 - Microsoft 365 Fundamentals</w:t>
            </w:r>
          </w:p>
        </w:tc>
        <w:tc>
          <w:tcPr>
            <w:tcW w:type="dxa" w:w="5263"/>
            <w:tcMar>
              <w:top w:w="12" w:type="dxa"/>
              <w:start w:w="45" w:type="dxa"/>
              <w:bottom w:w="12" w:type="dxa"/>
              <w:end w:w="45" w:type="dxa"/>
            </w:tcMar>
            <w:tcBorders>
              <w:top w:val="nil"/>
              <w:left w:val="nil"/>
              <w:bottom w:val="nil"/>
              <w:right w:val="nil"/>
            </w:tcBorders>
          </w:tcPr>
          <w:p>
            <w:pPr>
              <w:spacing w:before="0" w:after="0" w:line="240" w:lineRule="auto"/>
            </w:pPr>
            <w:r>
              <w:rPr>
                <w:rFonts w:ascii="Arial" w:hAnsi="Arial"/>
                <w:b/>
                <w:i w:val="0"/>
                <w:color w:val="1F4E79"/>
                <w:sz w:val="20"/>
              </w:rPr>
              <w:t xml:space="preserve">• </w:t>
            </w:r>
            <w:r>
              <w:rPr>
                <w:rFonts w:ascii="Arial" w:hAnsi="Arial"/>
                <w:b w:val="0"/>
                <w:i w:val="0"/>
                <w:sz w:val="18"/>
              </w:rPr>
              <w:t>Claude Certified</w:t>
            </w:r>
          </w:p>
        </w:tc>
      </w:tr>
    </w:tbl>
    <w:p>
      <w:pPr>
        <w:keepNext/>
        <w:spacing w:before="140" w:after="80" w:line="240" w:lineRule="auto"/>
        <w:pBdr>
          <w:bottom w:val="single" w:sz="10" w:space="2" w:color="1F4E79"/>
        </w:pBdr>
      </w:pPr>
      <w:r>
        <w:rPr>
          <w:rFonts w:ascii="Arial" w:hAnsi="Arial"/>
          <w:b/>
          <w:i w:val="0"/>
          <w:color w:val="1F4E79"/>
          <w:sz w:val="22"/>
        </w:rPr>
        <w:t>EDUCATION</w:t>
      </w:r>
    </w:p>
    <w:p>
      <w:pPr>
        <w:spacing w:before="0" w:after="0" w:line="240" w:lineRule="auto"/>
      </w:pPr>
      <w:r>
        <w:rPr>
          <w:rFonts w:ascii="Arial" w:hAnsi="Arial"/>
          <w:b/>
          <w:i w:val="0"/>
          <w:sz w:val="19"/>
        </w:rPr>
        <w:t>B.Tech - Computer Science Engineering</w:t>
      </w:r>
      <w:r>
        <w:rPr>
          <w:rFonts w:ascii="Arial" w:hAnsi="Arial"/>
          <w:b w:val="0"/>
          <w:i w:val="0"/>
          <w:sz w:val="18"/>
        </w:rPr>
        <w:t xml:space="preserve">  |  JNTU Anantapur  |  2020</w:t>
      </w:r>
    </w:p>
    <w:sectPr w:rsidR="00FC693F" w:rsidRPr="0006063C" w:rsidSect="00034616">
      <w:footerReference w:type="default" r:id="rId9"/>
      <w:pgSz w:w="11909" w:h="16834"/>
      <w:pgMar w:top="648" w:right="691" w:bottom="461" w:left="691"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Pr>
        <w:rFonts w:ascii="Arial" w:hAnsi="Arial"/>
        <w:b w:val="0"/>
        <w:i w:val="0"/>
        <w:color w:val="00A651"/>
        <w:sz w:val="13"/>
      </w:rPr>
      <w:t>PUBLIC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