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Lab 11 - Setting Up the Config Server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The following steps need to be followed to create a new Config server using STS: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30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Create a new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Spring Starter Project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and select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Config 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Actuator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as shown in the following diagram: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5943600" cy="3365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Set up a Git repository. This can be done by pointing to a remote Git configuration repository like the one at </w:t>
      </w:r>
      <w:hyperlink r:id="rId7">
        <w:r w:rsidDel="00000000" w:rsidR="00000000" w:rsidRPr="00000000">
          <w:rPr>
            <w:color w:val="ec6611"/>
            <w:sz w:val="21"/>
            <w:szCs w:val="21"/>
            <w:u w:val="single"/>
            <w:shd w:fill="f5f5f5" w:val="clear"/>
            <w:rtl w:val="0"/>
          </w:rPr>
          <w:t xml:space="preserve">https://github.com/spring-cloud-samples/config-repo</w:t>
        </w:r>
      </w:hyperlink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This URL is an indicative one, a Git repository used by the Spring Cloud examples. We will have to use our own Git repository instead.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Alternately, a local filesystem-based Git repository can be used. In a real production scenario, an external Git is recommended. The Config server in this chapter will use a local filesystem-based Git repository for demonstration purposes.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Enter the commands listed next to set up a local Git repository: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cd $HOME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mkdir config-repo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cd config-repo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git init 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echo message : helloworld &gt; application.properties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git add -A 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git commit -m "Added sample application.properties"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This code snippet creates a new Git repository on the local filesystem. A property file named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message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property and value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helloworld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also created.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created for demonstration purposes. We will change this in the subsequent sections.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next step is to change the configuration in the Config server to use the Git repository created in the previous step. In order to do this, rename the file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bootstrap.properties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2524125" cy="2314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Edit the contents of the new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bootstrap.properties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to match the following: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server.port=8888</w:t>
        <w:br w:type="textWrapping"/>
        <w:t xml:space="preserve">spring.cloud.config.server.git.uri: file://${user.home}/config-repo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8888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the default port for the Config server. Even without configuring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server.port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the Config server should bind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8888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In the Windows environment, an extra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required in the file URL.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Optionally, rename the default package of the auto-generated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com.example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com.brownfield.configserver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Add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@EnableConfigServer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@EnableConfigServer</w:t>
        <w:br w:type="textWrapping"/>
        <w:t xml:space="preserve">@SpringBootApplication</w:t>
        <w:br w:type="textWrapping"/>
        <w:t xml:space="preserve">public class ConfigserverApplication {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Run the Config server by right-clicking on the project, and running it as a Spring Boot app.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Visit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http://localhost:8888/env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see whether the server is running. If everything is fine, this will list all environment configurations. Note that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/env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an actuator endpoint.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http://localhost:8888/application/default/master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see the properties specific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which were added in the earlier step. The browser will display the properties configured in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The browser should display contents similar to the following: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76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{"name":"application","profiles":["default"],"label":"master","version":"6046fd2ff4fa09d3843767660d963866ffcc7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spring-cloud-samples/config-repo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