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Lab 14 - Spring Cloud Bus for propogating configuration changes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In this example, RabbitMQ is used as the AMQP message broker. Implement this by following the steps documented as follows: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30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Add a new dependency in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chapter5.search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project's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pom.xml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 to introduce the Cloud Bus dependency: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org.springframework.cloud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spring-cloud-starter-bus-amqp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Search microservice also needs connectivity to the RabbitMQ, but this is already provided in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search-service.properties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Rebuild and restart the Search microservice. In this case, we will run two instances of the Search microservice from a command line, as follows: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java -jar -Dserver.port=8090  search-1.0.jar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java -jar -Dserver.port=8091  search-1.0.jar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two instances of the Search service will be now running, one on port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8090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and another one on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8091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Rerun the website project. This is just to make sure that everything is working. The Search service should return one flight at this point.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Now, update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search-service.properties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with the following value, and commit to Git: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originairports.shutdown:SEA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Run the following command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/bus/refresh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Note that we are running a new bus endpoint against one of the instances,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8090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in this case: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curl –d {} localhost:8090/bus/refresh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Immediately, we will see the following message for both instances: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Received remote refresh request. Keys refreshed [originairports.shutdown]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bus endpoint sends a message to the message broker internally, which is eventually consumed by all instances, reloading their property files. Changes can also be applied to a specific application by specifying the application name like so: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76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/bus/refresh?destination=search-service:**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