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23 and a Half - Turbine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The Turbine server can be created as just another Spring Boot application using Spring Boot Starter. Select Turbine to include the Turbine libraries.</w:t>
      </w:r>
    </w:p>
    <w:p w:rsidR="00000000" w:rsidDel="00000000" w:rsidP="00000000" w:rsidRDefault="00000000" w:rsidRPr="00000000" w14:paraId="00000004">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Once the application is created, add </w:t>
      </w:r>
      <w:r w:rsidDel="00000000" w:rsidR="00000000" w:rsidRPr="00000000">
        <w:rPr>
          <w:rFonts w:ascii="Courier New" w:cs="Courier New" w:eastAsia="Courier New" w:hAnsi="Courier New"/>
          <w:color w:val="c7254e"/>
          <w:shd w:fill="f9f2f4" w:val="clear"/>
          <w:rtl w:val="0"/>
        </w:rPr>
        <w:t xml:space="preserve">@EnableTurbine</w:t>
      </w:r>
      <w:r w:rsidDel="00000000" w:rsidR="00000000" w:rsidRPr="00000000">
        <w:rPr>
          <w:color w:val="3c3c3b"/>
          <w:sz w:val="21"/>
          <w:szCs w:val="21"/>
          <w:shd w:fill="f5f5f5" w:val="clear"/>
          <w:rtl w:val="0"/>
        </w:rPr>
        <w:t xml:space="preserve"> to the main Spring Boot Application class. In this example, both Turbine and Hystrix Dashboard are configured to be run on the same Spring Boot application. This is possible by adding the following annotations to the newly created Turbine application:</w:t>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@EnableTurbine</w:t>
        <w:br w:type="textWrapping"/>
        <w:t xml:space="preserve">@EnableHystrixDashboard</w:t>
        <w:br w:type="textWrapping"/>
        <w:t xml:space="preserve">@SpringBootApplication</w:t>
        <w:br w:type="textWrapping"/>
        <w:t xml:space="preserve">public class TurbineServerApplication {</w:t>
      </w:r>
    </w:p>
    <w:p w:rsidR="00000000" w:rsidDel="00000000" w:rsidP="00000000" w:rsidRDefault="00000000" w:rsidRPr="00000000" w14:paraId="0000000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the following configuration to the </w:t>
      </w:r>
      <w:r w:rsidDel="00000000" w:rsidR="00000000" w:rsidRPr="00000000">
        <w:rPr>
          <w:rFonts w:ascii="Courier New" w:cs="Courier New" w:eastAsia="Courier New" w:hAnsi="Courier New"/>
          <w:color w:val="c7254e"/>
          <w:shd w:fill="f9f2f4" w:val="clear"/>
          <w:rtl w:val="0"/>
        </w:rPr>
        <w:t xml:space="preserve">.yaml</w:t>
      </w:r>
      <w:r w:rsidDel="00000000" w:rsidR="00000000" w:rsidRPr="00000000">
        <w:rPr>
          <w:color w:val="3c3c3b"/>
          <w:sz w:val="21"/>
          <w:szCs w:val="21"/>
          <w:shd w:fill="f5f5f5" w:val="clear"/>
          <w:rtl w:val="0"/>
        </w:rPr>
        <w:t xml:space="preserve"> or property file to point to the instances that we are interested in monitoring:</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w:t>
        <w:br w:type="textWrapping"/>
        <w:t xml:space="preserve">   application:</w:t>
        <w:br w:type="textWrapping"/>
        <w:t xml:space="preserve">     name : turbineserver</w:t>
        <w:br w:type="textWrapping"/>
        <w:t xml:space="preserve">turbine:</w:t>
        <w:br w:type="textWrapping"/>
        <w:t xml:space="preserve">   clusterNameExpression: new String('default')</w:t>
        <w:br w:type="textWrapping"/>
        <w:t xml:space="preserve">   appConfig : search-service,search-apigateway</w:t>
        <w:br w:type="textWrapping"/>
        <w:t xml:space="preserve">server:</w:t>
        <w:br w:type="textWrapping"/>
        <w:t xml:space="preserve">  port: 9090</w:t>
        <w:br w:type="textWrapping"/>
        <w:t xml:space="preserve">eureka:</w:t>
        <w:br w:type="textWrapping"/>
        <w:t xml:space="preserve">  client:</w:t>
        <w:br w:type="textWrapping"/>
        <w:t xml:space="preserve">    serviceUrl:</w:t>
        <w:br w:type="textWrapping"/>
        <w:t xml:space="preserve">       defaultZone: http://localhost:8761/eureka/</w:t>
      </w:r>
    </w:p>
    <w:p w:rsidR="00000000" w:rsidDel="00000000" w:rsidP="00000000" w:rsidRDefault="00000000" w:rsidRPr="00000000" w14:paraId="0000000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preceding configuration instructs the Turbine server to look up the Eureka server to resolve the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and </w:t>
      </w:r>
      <w:r w:rsidDel="00000000" w:rsidR="00000000" w:rsidRPr="00000000">
        <w:rPr>
          <w:rFonts w:ascii="Courier New" w:cs="Courier New" w:eastAsia="Courier New" w:hAnsi="Courier New"/>
          <w:color w:val="c7254e"/>
          <w:shd w:fill="f9f2f4" w:val="clear"/>
          <w:rtl w:val="0"/>
        </w:rPr>
        <w:t xml:space="preserve">search-apigateway</w:t>
      </w:r>
      <w:r w:rsidDel="00000000" w:rsidR="00000000" w:rsidRPr="00000000">
        <w:rPr>
          <w:color w:val="3c3c3b"/>
          <w:sz w:val="21"/>
          <w:szCs w:val="21"/>
          <w:shd w:fill="f5f5f5" w:val="clear"/>
          <w:rtl w:val="0"/>
        </w:rPr>
        <w:t xml:space="preserve"> services. The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and </w:t>
      </w:r>
      <w:r w:rsidDel="00000000" w:rsidR="00000000" w:rsidRPr="00000000">
        <w:rPr>
          <w:rFonts w:ascii="Courier New" w:cs="Courier New" w:eastAsia="Courier New" w:hAnsi="Courier New"/>
          <w:color w:val="c7254e"/>
          <w:shd w:fill="f9f2f4" w:val="clear"/>
          <w:rtl w:val="0"/>
        </w:rPr>
        <w:t xml:space="preserve">search-apigateways</w:t>
      </w:r>
      <w:r w:rsidDel="00000000" w:rsidR="00000000" w:rsidRPr="00000000">
        <w:rPr>
          <w:color w:val="3c3c3b"/>
          <w:sz w:val="21"/>
          <w:szCs w:val="21"/>
          <w:shd w:fill="f5f5f5" w:val="clear"/>
          <w:rtl w:val="0"/>
        </w:rPr>
        <w:t xml:space="preserve"> service IDs are used to register services with Eureka. Turbine uses these names to resolve the actual service host and port by checking with the Eureka server. It will then use this information to read </w:t>
      </w:r>
      <w:r w:rsidDel="00000000" w:rsidR="00000000" w:rsidRPr="00000000">
        <w:rPr>
          <w:rFonts w:ascii="Courier New" w:cs="Courier New" w:eastAsia="Courier New" w:hAnsi="Courier New"/>
          <w:color w:val="c7254e"/>
          <w:shd w:fill="f9f2f4" w:val="clear"/>
          <w:rtl w:val="0"/>
        </w:rPr>
        <w:t xml:space="preserve">/hystrix.stream</w:t>
      </w:r>
      <w:r w:rsidDel="00000000" w:rsidR="00000000" w:rsidRPr="00000000">
        <w:rPr>
          <w:color w:val="3c3c3b"/>
          <w:sz w:val="21"/>
          <w:szCs w:val="21"/>
          <w:shd w:fill="f5f5f5" w:val="clear"/>
          <w:rtl w:val="0"/>
        </w:rPr>
        <w:t xml:space="preserve"> from each of these instances. Turbine will then read all the individual Hystrix streams, aggregate all of them, and expose them under the Turbine server's </w:t>
      </w:r>
      <w:r w:rsidDel="00000000" w:rsidR="00000000" w:rsidRPr="00000000">
        <w:rPr>
          <w:rFonts w:ascii="Courier New" w:cs="Courier New" w:eastAsia="Courier New" w:hAnsi="Courier New"/>
          <w:color w:val="c7254e"/>
          <w:shd w:fill="f9f2f4" w:val="clear"/>
          <w:rtl w:val="0"/>
        </w:rPr>
        <w:t xml:space="preserve">/turbine.stream</w:t>
      </w:r>
      <w:r w:rsidDel="00000000" w:rsidR="00000000" w:rsidRPr="00000000">
        <w:rPr>
          <w:color w:val="3c3c3b"/>
          <w:sz w:val="21"/>
          <w:szCs w:val="21"/>
          <w:shd w:fill="f5f5f5" w:val="clear"/>
          <w:rtl w:val="0"/>
        </w:rPr>
        <w:t xml:space="preserve"> URL.</w:t>
      </w:r>
    </w:p>
    <w:p w:rsidR="00000000" w:rsidDel="00000000" w:rsidP="00000000" w:rsidRDefault="00000000" w:rsidRPr="00000000" w14:paraId="0000000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cluster name expression is pointing to the default cluster as there is no explicit cluster configuration done in this example. If the clusters are manually configured, then the following configuration has to be used:</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turbine:</w:t>
        <w:br w:type="textWrapping"/>
        <w:t xml:space="preserve">  aggregator:</w:t>
        <w:br w:type="textWrapping"/>
        <w:t xml:space="preserve">    clusterConfig: [comma separated clusternames]</w:t>
      </w:r>
    </w:p>
    <w:p w:rsidR="00000000" w:rsidDel="00000000" w:rsidP="00000000" w:rsidRDefault="00000000" w:rsidRPr="00000000" w14:paraId="0000000E">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Search service's </w:t>
      </w:r>
      <w:r w:rsidDel="00000000" w:rsidR="00000000" w:rsidRPr="00000000">
        <w:rPr>
          <w:rFonts w:ascii="Courier New" w:cs="Courier New" w:eastAsia="Courier New" w:hAnsi="Courier New"/>
          <w:color w:val="c7254e"/>
          <w:shd w:fill="f9f2f4" w:val="clear"/>
          <w:rtl w:val="0"/>
        </w:rPr>
        <w:t xml:space="preserve">SearchComponent</w:t>
      </w:r>
      <w:r w:rsidDel="00000000" w:rsidR="00000000" w:rsidRPr="00000000">
        <w:rPr>
          <w:color w:val="3c3c3b"/>
          <w:sz w:val="21"/>
          <w:szCs w:val="21"/>
          <w:shd w:fill="f5f5f5" w:val="clear"/>
          <w:rtl w:val="0"/>
        </w:rPr>
        <w:t xml:space="preserve"> to add another circuit breaker, as follows:</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@HystrixCommand(fallbackMethod = "searchFallback")</w:t>
        <w:br w:type="textWrapping"/>
        <w:t xml:space="preserve">  public List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Flight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search(SearchQuery query){</w:t>
      </w:r>
    </w:p>
    <w:p w:rsidR="00000000" w:rsidDel="00000000" w:rsidP="00000000" w:rsidRDefault="00000000" w:rsidRPr="00000000" w14:paraId="00000011">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Also, add </w:t>
      </w:r>
      <w:r w:rsidDel="00000000" w:rsidR="00000000" w:rsidRPr="00000000">
        <w:rPr>
          <w:rFonts w:ascii="Courier New" w:cs="Courier New" w:eastAsia="Courier New" w:hAnsi="Courier New"/>
          <w:color w:val="c7254e"/>
          <w:shd w:fill="f9f2f4" w:val="clear"/>
          <w:rtl w:val="0"/>
        </w:rPr>
        <w:t xml:space="preserve">@EnableCircuitBreaker</w:t>
      </w:r>
      <w:r w:rsidDel="00000000" w:rsidR="00000000" w:rsidRPr="00000000">
        <w:rPr>
          <w:color w:val="3c3c3b"/>
          <w:sz w:val="21"/>
          <w:szCs w:val="21"/>
          <w:shd w:fill="f5f5f5" w:val="clear"/>
          <w:rtl w:val="0"/>
        </w:rPr>
        <w:t xml:space="preserve"> to the main Application class in the Search service.</w:t>
      </w:r>
    </w:p>
    <w:p w:rsidR="00000000" w:rsidDel="00000000" w:rsidP="00000000" w:rsidRDefault="00000000" w:rsidRPr="00000000" w14:paraId="00000012">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the following configuration to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of the Search service. This is required because all the services are running on the same host:</w:t>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4">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Eureka.instance.hostname: localdomain1</w:t>
      </w:r>
    </w:p>
    <w:p w:rsidR="00000000" w:rsidDel="00000000" w:rsidP="00000000" w:rsidRDefault="00000000" w:rsidRPr="00000000" w14:paraId="00000015">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Similarly, add the following in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of the Search API Gateway service. This is to make sure that both the services use different hostnames:</w:t>
      </w:r>
    </w:p>
    <w:p w:rsidR="00000000" w:rsidDel="00000000" w:rsidP="00000000" w:rsidRDefault="00000000" w:rsidRPr="00000000" w14:paraId="00000016">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eureka.instance.hostname: localdomain2</w:t>
      </w:r>
    </w:p>
    <w:p w:rsidR="00000000" w:rsidDel="00000000" w:rsidP="00000000" w:rsidRDefault="00000000" w:rsidRPr="00000000" w14:paraId="00000018">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example, we will run two instances of </w:t>
      </w:r>
      <w:r w:rsidDel="00000000" w:rsidR="00000000" w:rsidRPr="00000000">
        <w:rPr>
          <w:rFonts w:ascii="Courier New" w:cs="Courier New" w:eastAsia="Courier New" w:hAnsi="Courier New"/>
          <w:color w:val="c7254e"/>
          <w:shd w:fill="f9f2f4" w:val="clear"/>
          <w:rtl w:val="0"/>
        </w:rPr>
        <w:t xml:space="preserve">search-apigateway</w:t>
      </w:r>
      <w:r w:rsidDel="00000000" w:rsidR="00000000" w:rsidRPr="00000000">
        <w:rPr>
          <w:color w:val="3c3c3b"/>
          <w:sz w:val="21"/>
          <w:szCs w:val="21"/>
          <w:shd w:fill="f5f5f5" w:val="clear"/>
          <w:rtl w:val="0"/>
        </w:rPr>
        <w:t xml:space="preserve">: one on </w:t>
      </w:r>
      <w:r w:rsidDel="00000000" w:rsidR="00000000" w:rsidRPr="00000000">
        <w:rPr>
          <w:rFonts w:ascii="Courier New" w:cs="Courier New" w:eastAsia="Courier New" w:hAnsi="Courier New"/>
          <w:color w:val="c7254e"/>
          <w:shd w:fill="f9f2f4" w:val="clear"/>
          <w:rtl w:val="0"/>
        </w:rPr>
        <w:t xml:space="preserve">localdomain1:8095</w:t>
      </w:r>
      <w:r w:rsidDel="00000000" w:rsidR="00000000" w:rsidRPr="00000000">
        <w:rPr>
          <w:color w:val="3c3c3b"/>
          <w:sz w:val="21"/>
          <w:szCs w:val="21"/>
          <w:shd w:fill="f5f5f5" w:val="clear"/>
          <w:rtl w:val="0"/>
        </w:rPr>
        <w:t xml:space="preserve"> and another one on </w:t>
      </w:r>
      <w:r w:rsidDel="00000000" w:rsidR="00000000" w:rsidRPr="00000000">
        <w:rPr>
          <w:rFonts w:ascii="Courier New" w:cs="Courier New" w:eastAsia="Courier New" w:hAnsi="Courier New"/>
          <w:color w:val="c7254e"/>
          <w:shd w:fill="f9f2f4" w:val="clear"/>
          <w:rtl w:val="0"/>
        </w:rPr>
        <w:t xml:space="preserve">localdomain2:8096</w:t>
      </w:r>
      <w:r w:rsidDel="00000000" w:rsidR="00000000" w:rsidRPr="00000000">
        <w:rPr>
          <w:color w:val="3c3c3b"/>
          <w:sz w:val="21"/>
          <w:szCs w:val="21"/>
          <w:shd w:fill="f5f5f5" w:val="clear"/>
          <w:rtl w:val="0"/>
        </w:rPr>
        <w:t xml:space="preserve">. We will also run one instance of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on </w:t>
      </w:r>
      <w:r w:rsidDel="00000000" w:rsidR="00000000" w:rsidRPr="00000000">
        <w:rPr>
          <w:rFonts w:ascii="Courier New" w:cs="Courier New" w:eastAsia="Courier New" w:hAnsi="Courier New"/>
          <w:color w:val="c7254e"/>
          <w:shd w:fill="f9f2f4" w:val="clear"/>
          <w:rtl w:val="0"/>
        </w:rPr>
        <w:t xml:space="preserve">localdomain1:8090</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Run the microservices with command-line overrides to manage different host addresses, as follows:</w:t>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java -jar -Dserver.port=8096 -Deureka.instance.hostname=localdomain2 -Dserver.address=localdomain2 target/chapter7.search-apigateway-1.0.jar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-Dserver.port=8095 -Deureka.instance.hostname=localdomain1 -Dserver.address=localdomain1 target/chapter7.search-apigateway-1.0.jar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-Dserver.port=8090 -Deureka.instance.hostname=localdomain1 -Dserver.address=localdomain1 target/chapter7.search-1.0.jar</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C">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Open Hystrix Dashboard by pointing the browser to </w:t>
      </w:r>
      <w:r w:rsidDel="00000000" w:rsidR="00000000" w:rsidRPr="00000000">
        <w:rPr>
          <w:rFonts w:ascii="Courier New" w:cs="Courier New" w:eastAsia="Courier New" w:hAnsi="Courier New"/>
          <w:color w:val="c7254e"/>
          <w:shd w:fill="f9f2f4" w:val="clear"/>
          <w:rtl w:val="0"/>
        </w:rPr>
        <w:t xml:space="preserve">http://localhost:9090/hystrix</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Instead of giving </w:t>
      </w:r>
      <w:r w:rsidDel="00000000" w:rsidR="00000000" w:rsidRPr="00000000">
        <w:rPr>
          <w:rFonts w:ascii="Courier New" w:cs="Courier New" w:eastAsia="Courier New" w:hAnsi="Courier New"/>
          <w:color w:val="c7254e"/>
          <w:shd w:fill="f9f2f4" w:val="clear"/>
          <w:rtl w:val="0"/>
        </w:rPr>
        <w:t xml:space="preserve">/hystrix.stream</w:t>
      </w:r>
      <w:r w:rsidDel="00000000" w:rsidR="00000000" w:rsidRPr="00000000">
        <w:rPr>
          <w:color w:val="3c3c3b"/>
          <w:sz w:val="21"/>
          <w:szCs w:val="21"/>
          <w:shd w:fill="f5f5f5" w:val="clear"/>
          <w:rtl w:val="0"/>
        </w:rPr>
        <w:t xml:space="preserve">, this time, we will point to </w:t>
      </w:r>
      <w:r w:rsidDel="00000000" w:rsidR="00000000" w:rsidRPr="00000000">
        <w:rPr>
          <w:rFonts w:ascii="Courier New" w:cs="Courier New" w:eastAsia="Courier New" w:hAnsi="Courier New"/>
          <w:color w:val="c7254e"/>
          <w:shd w:fill="f9f2f4" w:val="clear"/>
          <w:rtl w:val="0"/>
        </w:rPr>
        <w:t xml:space="preserve">/turbine.stream</w:t>
      </w:r>
      <w:r w:rsidDel="00000000" w:rsidR="00000000" w:rsidRPr="00000000">
        <w:rPr>
          <w:color w:val="3c3c3b"/>
          <w:sz w:val="21"/>
          <w:szCs w:val="21"/>
          <w:shd w:fill="f5f5f5" w:val="clear"/>
          <w:rtl w:val="0"/>
        </w:rPr>
        <w:t xml:space="preserve">. In this example, the Turbine stream is running on </w:t>
      </w:r>
      <w:r w:rsidDel="00000000" w:rsidR="00000000" w:rsidRPr="00000000">
        <w:rPr>
          <w:rFonts w:ascii="Courier New" w:cs="Courier New" w:eastAsia="Courier New" w:hAnsi="Courier New"/>
          <w:color w:val="c7254e"/>
          <w:shd w:fill="f9f2f4" w:val="clear"/>
          <w:rtl w:val="0"/>
        </w:rPr>
        <w:t xml:space="preserve">9090</w:t>
      </w:r>
      <w:r w:rsidDel="00000000" w:rsidR="00000000" w:rsidRPr="00000000">
        <w:rPr>
          <w:color w:val="3c3c3b"/>
          <w:sz w:val="21"/>
          <w:szCs w:val="21"/>
          <w:shd w:fill="f5f5f5" w:val="clear"/>
          <w:rtl w:val="0"/>
        </w:rPr>
        <w:t xml:space="preserve">. Hence, the URL to be given in the Hystrix Dashboard is </w:t>
      </w:r>
      <w:r w:rsidDel="00000000" w:rsidR="00000000" w:rsidRPr="00000000">
        <w:rPr>
          <w:rFonts w:ascii="Courier New" w:cs="Courier New" w:eastAsia="Courier New" w:hAnsi="Courier New"/>
          <w:color w:val="c7254e"/>
          <w:shd w:fill="f9f2f4" w:val="clear"/>
          <w:rtl w:val="0"/>
        </w:rPr>
        <w:t xml:space="preserve">http://localhost:9090/turbine.stream</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E">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Fire a few transactions by opening a browser window and hitting the following two URLs: </w:t>
      </w:r>
      <w:r w:rsidDel="00000000" w:rsidR="00000000" w:rsidRPr="00000000">
        <w:rPr>
          <w:rFonts w:ascii="Courier New" w:cs="Courier New" w:eastAsia="Courier New" w:hAnsi="Courier New"/>
          <w:color w:val="c7254e"/>
          <w:shd w:fill="f9f2f4" w:val="clear"/>
          <w:rtl w:val="0"/>
        </w:rPr>
        <w:t xml:space="preserve">http://localhost:8095/hubongw</w:t>
      </w:r>
      <w:r w:rsidDel="00000000" w:rsidR="00000000" w:rsidRPr="00000000">
        <w:rPr>
          <w:color w:val="3c3c3b"/>
          <w:sz w:val="21"/>
          <w:szCs w:val="21"/>
          <w:shd w:fill="f5f5f5" w:val="clear"/>
          <w:rtl w:val="0"/>
        </w:rPr>
        <w:t xml:space="preserve"> and </w:t>
      </w:r>
      <w:r w:rsidDel="00000000" w:rsidR="00000000" w:rsidRPr="00000000">
        <w:rPr>
          <w:rFonts w:ascii="Courier New" w:cs="Courier New" w:eastAsia="Courier New" w:hAnsi="Courier New"/>
          <w:color w:val="c7254e"/>
          <w:shd w:fill="f9f2f4" w:val="clear"/>
          <w:rtl w:val="0"/>
        </w:rPr>
        <w:t xml:space="preserve">http://localhost:8096/hubongw</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F">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Once this is done, the dashboard page will show the </w:t>
      </w:r>
      <w:r w:rsidDel="00000000" w:rsidR="00000000" w:rsidRPr="00000000">
        <w:rPr>
          <w:b w:val="1"/>
          <w:color w:val="3c3c3b"/>
          <w:sz w:val="21"/>
          <w:szCs w:val="21"/>
          <w:shd w:fill="f5f5f5" w:val="clear"/>
          <w:rtl w:val="0"/>
        </w:rPr>
        <w:t xml:space="preserve">getHub</w:t>
      </w:r>
      <w:r w:rsidDel="00000000" w:rsidR="00000000" w:rsidRPr="00000000">
        <w:rPr>
          <w:color w:val="3c3c3b"/>
          <w:sz w:val="21"/>
          <w:szCs w:val="21"/>
          <w:shd w:fill="f5f5f5" w:val="clear"/>
          <w:rtl w:val="0"/>
        </w:rPr>
        <w:t xml:space="preserve"> service.</w:t>
      </w:r>
    </w:p>
    <w:p w:rsidR="00000000" w:rsidDel="00000000" w:rsidP="00000000" w:rsidRDefault="00000000" w:rsidRPr="00000000" w14:paraId="0000002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Run </w:t>
      </w:r>
      <w:r w:rsidDel="00000000" w:rsidR="00000000" w:rsidRPr="00000000">
        <w:rPr>
          <w:rFonts w:ascii="Courier New" w:cs="Courier New" w:eastAsia="Courier New" w:hAnsi="Courier New"/>
          <w:color w:val="c7254e"/>
          <w:shd w:fill="f9f2f4" w:val="clear"/>
          <w:rtl w:val="0"/>
        </w:rPr>
        <w:t xml:space="preserve">chapter7.website</w:t>
      </w:r>
      <w:r w:rsidDel="00000000" w:rsidR="00000000" w:rsidRPr="00000000">
        <w:rPr>
          <w:color w:val="3c3c3b"/>
          <w:sz w:val="21"/>
          <w:szCs w:val="21"/>
          <w:shd w:fill="f5f5f5" w:val="clear"/>
          <w:rtl w:val="0"/>
        </w:rPr>
        <w:t xml:space="preserve">. Execute the search transaction using the website </w:t>
      </w:r>
      <w:r w:rsidDel="00000000" w:rsidR="00000000" w:rsidRPr="00000000">
        <w:rPr>
          <w:rFonts w:ascii="Courier New" w:cs="Courier New" w:eastAsia="Courier New" w:hAnsi="Courier New"/>
          <w:color w:val="c7254e"/>
          <w:shd w:fill="f9f2f4" w:val="clear"/>
          <w:rtl w:val="0"/>
        </w:rPr>
        <w:t xml:space="preserve">http://localhost:8001</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21">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After executing the preceding search, the dashboard page will show </w:t>
      </w:r>
      <w:r w:rsidDel="00000000" w:rsidR="00000000" w:rsidRPr="00000000">
        <w:rPr>
          <w:b w:val="1"/>
          <w:color w:val="3c3c3b"/>
          <w:sz w:val="21"/>
          <w:szCs w:val="21"/>
          <w:shd w:fill="f5f5f5" w:val="clear"/>
          <w:rtl w:val="0"/>
        </w:rPr>
        <w:t xml:space="preserve">search-service</w:t>
      </w:r>
      <w:r w:rsidDel="00000000" w:rsidR="00000000" w:rsidRPr="00000000">
        <w:rPr>
          <w:color w:val="3c3c3b"/>
          <w:sz w:val="21"/>
          <w:szCs w:val="21"/>
          <w:shd w:fill="f5f5f5" w:val="clear"/>
          <w:rtl w:val="0"/>
        </w:rPr>
        <w:t xml:space="preserve"> as well. This is shown in the following screenshot:</w:t>
      </w:r>
    </w:p>
    <w:p w:rsidR="00000000" w:rsidDel="00000000" w:rsidP="00000000" w:rsidRDefault="00000000" w:rsidRPr="00000000" w14:paraId="00000022">
      <w:pPr>
        <w:pageBreakBefore w:val="0"/>
        <w:numPr>
          <w:ilvl w:val="0"/>
          <w:numId w:val="1"/>
        </w:numPr>
        <w:spacing w:after="30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943600" cy="302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hd w:fill="ffffff" w:val="clear"/>
        <w:spacing w:after="220" w:line="432" w:lineRule="auto"/>
        <w:rPr>
          <w:color w:val="3c3c3b"/>
        </w:rPr>
      </w:pPr>
      <w:r w:rsidDel="00000000" w:rsidR="00000000" w:rsidRPr="00000000">
        <w:rPr>
          <w:color w:val="3c3c3b"/>
          <w:rtl w:val="0"/>
        </w:rPr>
        <w:t xml:space="preserve">As we can see in the dashboard, </w:t>
      </w:r>
      <w:r w:rsidDel="00000000" w:rsidR="00000000" w:rsidRPr="00000000">
        <w:rPr>
          <w:b w:val="1"/>
          <w:color w:val="3c3c3b"/>
          <w:rtl w:val="0"/>
        </w:rPr>
        <w:t xml:space="preserve">search-service</w:t>
      </w:r>
      <w:r w:rsidDel="00000000" w:rsidR="00000000" w:rsidRPr="00000000">
        <w:rPr>
          <w:color w:val="3c3c3b"/>
          <w:rtl w:val="0"/>
        </w:rPr>
        <w:t xml:space="preserve"> is coming from the Search microservice, and </w:t>
      </w:r>
      <w:r w:rsidDel="00000000" w:rsidR="00000000" w:rsidRPr="00000000">
        <w:rPr>
          <w:b w:val="1"/>
          <w:color w:val="3c3c3b"/>
          <w:rtl w:val="0"/>
        </w:rPr>
        <w:t xml:space="preserve">getHub</w:t>
      </w:r>
      <w:r w:rsidDel="00000000" w:rsidR="00000000" w:rsidRPr="00000000">
        <w:rPr>
          <w:color w:val="3c3c3b"/>
          <w:rtl w:val="0"/>
        </w:rPr>
        <w:t xml:space="preserve"> is coming from Search API Gateway. As we have two instances of Search API Gateway, </w:t>
      </w:r>
      <w:r w:rsidDel="00000000" w:rsidR="00000000" w:rsidRPr="00000000">
        <w:rPr>
          <w:b w:val="1"/>
          <w:color w:val="3c3c3b"/>
          <w:rtl w:val="0"/>
        </w:rPr>
        <w:t xml:space="preserve">getHub</w:t>
      </w:r>
      <w:r w:rsidDel="00000000" w:rsidR="00000000" w:rsidRPr="00000000">
        <w:rPr>
          <w:color w:val="3c3c3b"/>
          <w:rtl w:val="0"/>
        </w:rPr>
        <w:t xml:space="preserve"> is coming from two hosts, indicated by </w:t>
      </w:r>
      <w:r w:rsidDel="00000000" w:rsidR="00000000" w:rsidRPr="00000000">
        <w:rPr>
          <w:b w:val="1"/>
          <w:color w:val="3c3c3b"/>
          <w:rtl w:val="0"/>
        </w:rPr>
        <w:t xml:space="preserve">Hosts 2</w:t>
      </w:r>
      <w:r w:rsidDel="00000000" w:rsidR="00000000" w:rsidRPr="00000000">
        <w:rPr>
          <w:color w:val="3c3c3b"/>
          <w:rtl w:val="0"/>
        </w:rPr>
        <w:t xml:space="preserve">.</w:t>
      </w:r>
    </w:p>
    <w:p w:rsidR="00000000" w:rsidDel="00000000" w:rsidP="00000000" w:rsidRDefault="00000000" w:rsidRPr="00000000" w14:paraId="00000024">
      <w:pPr>
        <w:pageBreakBefore w:val="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