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Lab 3 - Create a Spring Boot Java Microservice with STS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Step 1:  Launch STS4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Open STS, right-click within the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Project Explorer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window, navigate to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|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Project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and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Step 2: Launch Spring Starter Project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select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Spring Starter Project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and click on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Next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Spring Starter Project is a basic template wizard that provides a number of other starter libraries to select from.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Type the project name as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module2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.bootrest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or any other name of your choice. It is important to choose the packaging as JAR. In traditional web applications, a war file is created and then deployed to a servlet container, where Spring Boot packages all the dependencies to a self-contained, autonomous JAR file with an embedded HTTP listener.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Select 1.8 under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Java Version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. Java 1.8 is recommended for Spring 4 applications. Change the other Maven properties such as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Artifact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and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Package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as shown in the following screenshot:</w:t>
      </w:r>
      <w:r w:rsidDel="00000000" w:rsidR="00000000" w:rsidRPr="00000000">
        <w:rPr>
          <w:color w:val="3c3c3b"/>
          <w:sz w:val="21"/>
          <w:szCs w:val="21"/>
        </w:rPr>
        <w:drawing>
          <wp:inline distB="114300" distT="114300" distL="114300" distR="114300">
            <wp:extent cx="4643438" cy="43589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435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Once completed, click on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Next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The wizard will show the library options. In this case, as the REST service is developed, select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Web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under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Web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. This is an interesting step that tells Spring Boot that a Spring MVC web application is being developed so that Spring Boot can include the necessary libraries, including Tomcat as the HTTP listener and other configurations, as required: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</w:rPr>
        <w:drawing>
          <wp:inline distB="114300" distT="114300" distL="114300" distR="114300">
            <wp:extent cx="5000625" cy="4505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Click on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Finish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This will generate a project named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module2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.bootrest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in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Project Explorer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in STS: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</w:rPr>
        <w:drawing>
          <wp:inline distB="114300" distT="114300" distL="114300" distR="114300">
            <wp:extent cx="4848225" cy="4505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Take a moment to examine the generated application. Files that are of interest are: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0" w:afterAutospacing="0" w:before="0" w:beforeAutospacing="0" w:line="432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pom.xml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 w:before="0" w:beforeAutospacing="0" w:line="432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Application.java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 w:before="0" w:beforeAutospacing="0" w:line="432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Application.properties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300" w:before="0" w:beforeAutospacing="0" w:line="432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ApplicationTests.java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3c3c3b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3c3c3b"/>
        <w:sz w:val="21"/>
        <w:szCs w:val="21"/>
        <w:u w:val="none"/>
        <w:shd w:fill="f5f5f5" w:val="clear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