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A3C6E"/>
          <w:sz w:val="36"/>
          <w:szCs w:val="36"/>
        </w:rPr>
        <w:t xml:space="preserve">INDEPENDENT CONTRACTOR</w:t>
      </w:r>
    </w:p>
    <w:p>
      <w:pPr>
        <w:spacing w:after="80"/>
        <w:jc w:val="center"/>
      </w:pPr>
      <w:r>
        <w:rPr>
          <w:rFonts w:ascii="Arial" w:cs="Arial" w:eastAsia="Arial" w:hAnsi="Arial"/>
          <w:b/>
          <w:bCs/>
          <w:color w:val="1A3C6E"/>
          <w:sz w:val="36"/>
          <w:szCs w:val="36"/>
        </w:rPr>
        <w:t xml:space="preserve">COMMISSION AGREEMENT</w:t>
      </w:r>
    </w:p>
    <w:p>
      <w:pPr>
        <w:spacing w:after="400"/>
        <w:jc w:val="center"/>
      </w:pPr>
      <w:r>
        <w:rPr>
          <w:rFonts w:ascii="Arial" w:cs="Arial" w:eastAsia="Arial" w:hAnsi="Arial"/>
          <w:i/>
          <w:iCs/>
          <w:color w:val="666666"/>
          <w:sz w:val="22"/>
          <w:szCs w:val="22"/>
        </w:rPr>
        <w:t xml:space="preserve">Merchant Cash Advance Brokerage Services</w:t>
      </w:r>
    </w:p>
    <w:p>
      <w:pPr>
        <w:pBdr>
          <w:bottom w:val="single" w:color="1A3C6E" w:sz="2" w:space="4"/>
        </w:pBdr>
        <w:spacing w:before="360" w:after="120"/>
      </w:pPr>
      <w:r>
        <w:rPr>
          <w:rFonts w:ascii="Arial" w:cs="Arial" w:eastAsia="Arial" w:hAnsi="Arial"/>
          <w:b/>
          <w:bCs/>
          <w:color w:val="1A3C6E"/>
          <w:sz w:val="24"/>
          <w:szCs w:val="24"/>
        </w:rPr>
        <w:t xml:space="preserve">1. PARTIES</w:t>
      </w:r>
    </w:p>
    <w:p>
      <w:pPr>
        <w:spacing w:after="160" w:line="276"/>
        <w:jc w:val="both"/>
      </w:pPr>
      <w:r>
        <w:rPr>
          <w:rFonts w:ascii="Arial" w:cs="Arial" w:eastAsia="Arial" w:hAnsi="Arial"/>
          <w:sz w:val="21"/>
          <w:szCs w:val="21"/>
        </w:rPr>
        <w:t xml:space="preserve">This Independent Contractor Commission Agreement (the "Agreement") is entered into as of __________________, 20____ (the "Effective Date"), by and between:</w:t>
      </w:r>
    </w:p>
    <w:p>
      <w:pPr>
        <w:spacing w:after="120" w:line="276"/>
      </w:pPr>
      <w:r>
        <w:rPr>
          <w:rFonts w:ascii="Arial" w:cs="Arial" w:eastAsia="Arial" w:hAnsi="Arial"/>
          <w:b/>
          <w:bCs/>
          <w:sz w:val="21"/>
          <w:szCs w:val="21"/>
        </w:rPr>
        <w:t xml:space="preserve">Company: </w:t>
      </w:r>
      <w:r>
        <w:rPr>
          <w:rFonts w:ascii="Arial" w:cs="Arial" w:eastAsia="Arial" w:hAnsi="Arial"/>
          <w:sz w:val="21"/>
          <w:szCs w:val="21"/>
        </w:rPr>
        <w:t xml:space="preserve">MFunding, LLC, a Florida limited liability company ("Company")</w:t>
      </w:r>
    </w:p>
    <w:p>
      <w:pPr>
        <w:spacing w:after="120" w:line="276"/>
      </w:pPr>
      <w:r>
        <w:rPr>
          <w:rFonts w:ascii="Arial" w:cs="Arial" w:eastAsia="Arial" w:hAnsi="Arial"/>
          <w:b/>
          <w:bCs/>
          <w:sz w:val="21"/>
          <w:szCs w:val="21"/>
        </w:rPr>
        <w:t xml:space="preserve">Contractor: </w:t>
      </w:r>
      <w:r>
        <w:rPr>
          <w:rFonts w:ascii="Arial" w:cs="Arial" w:eastAsia="Arial" w:hAnsi="Arial"/>
          <w:sz w:val="21"/>
          <w:szCs w:val="21"/>
        </w:rPr>
        <w:t xml:space="preserve">__________________________________ ("Contractor")</w:t>
      </w:r>
    </w:p>
    <w:p>
      <w:pPr>
        <w:spacing w:after="120" w:line="276"/>
      </w:pPr>
      <w:r>
        <w:rPr>
          <w:rFonts w:ascii="Arial" w:cs="Arial" w:eastAsia="Arial" w:hAnsi="Arial"/>
          <w:b/>
          <w:bCs/>
          <w:sz w:val="21"/>
          <w:szCs w:val="21"/>
        </w:rPr>
        <w:t xml:space="preserve">Contractor Address: </w:t>
      </w:r>
      <w:r>
        <w:rPr>
          <w:rFonts w:ascii="Arial" w:cs="Arial" w:eastAsia="Arial" w:hAnsi="Arial"/>
          <w:sz w:val="21"/>
          <w:szCs w:val="21"/>
        </w:rPr>
        <w:t xml:space="preserve">_______________________________________________</w:t>
      </w:r>
    </w:p>
    <w:p>
      <w:pPr>
        <w:spacing w:after="120" w:line="276"/>
      </w:pPr>
      <w:r>
        <w:rPr>
          <w:rFonts w:ascii="Arial" w:cs="Arial" w:eastAsia="Arial" w:hAnsi="Arial"/>
          <w:b/>
          <w:bCs/>
          <w:sz w:val="21"/>
          <w:szCs w:val="21"/>
        </w:rPr>
        <w:t xml:space="preserve">Contractor Email: </w:t>
      </w:r>
      <w:r>
        <w:rPr>
          <w:rFonts w:ascii="Arial" w:cs="Arial" w:eastAsia="Arial" w:hAnsi="Arial"/>
          <w:sz w:val="21"/>
          <w:szCs w:val="21"/>
        </w:rPr>
        <w:t xml:space="preserve">_______________________________________________</w:t>
      </w:r>
    </w:p>
    <w:p>
      <w:pPr>
        <w:spacing w:after="120" w:line="276"/>
      </w:pPr>
      <w:r>
        <w:rPr>
          <w:rFonts w:ascii="Arial" w:cs="Arial" w:eastAsia="Arial" w:hAnsi="Arial"/>
          <w:b/>
          <w:bCs/>
          <w:sz w:val="21"/>
          <w:szCs w:val="21"/>
        </w:rPr>
        <w:t xml:space="preserve">Contractor Phone: </w:t>
      </w:r>
      <w:r>
        <w:rPr>
          <w:rFonts w:ascii="Arial" w:cs="Arial" w:eastAsia="Arial" w:hAnsi="Arial"/>
          <w:sz w:val="21"/>
          <w:szCs w:val="21"/>
        </w:rPr>
        <w:t xml:space="preserve">_______________________________________________</w:t>
      </w:r>
    </w:p>
    <w:p>
      <w:pPr>
        <w:pBdr>
          <w:bottom w:val="single" w:color="1A3C6E" w:sz="2" w:space="4"/>
        </w:pBdr>
        <w:spacing w:before="360" w:after="120"/>
      </w:pPr>
      <w:r>
        <w:rPr>
          <w:rFonts w:ascii="Arial" w:cs="Arial" w:eastAsia="Arial" w:hAnsi="Arial"/>
          <w:b/>
          <w:bCs/>
          <w:color w:val="1A3C6E"/>
          <w:sz w:val="24"/>
          <w:szCs w:val="24"/>
        </w:rPr>
        <w:t xml:space="preserve">2. ENGAGEMENT AND SCOPE OF SERVICES</w:t>
      </w:r>
    </w:p>
    <w:p>
      <w:pPr>
        <w:spacing w:after="160" w:line="276"/>
        <w:jc w:val="both"/>
      </w:pPr>
      <w:r>
        <w:rPr>
          <w:rFonts w:ascii="Arial" w:cs="Arial" w:eastAsia="Arial" w:hAnsi="Arial"/>
          <w:sz w:val="21"/>
          <w:szCs w:val="21"/>
        </w:rPr>
        <w:t xml:space="preserve">The Company engages the Contractor as an independent contractor to perform merchant cash advance (MCA) brokerage sales services. The Contractor shall be responsible for:</w:t>
      </w:r>
    </w:p>
    <w:p>
      <w:pPr>
        <w:spacing w:after="160" w:line="276"/>
        <w:jc w:val="both"/>
      </w:pPr>
      <w:r>
        <w:rPr>
          <w:rFonts w:ascii="Arial" w:cs="Arial" w:eastAsia="Arial" w:hAnsi="Arial"/>
          <w:sz w:val="21"/>
          <w:szCs w:val="21"/>
        </w:rPr>
        <w:t xml:space="preserve">(a) Receiving and working live transfer leads and other leads provided by the Company;</w:t>
      </w:r>
    </w:p>
    <w:p>
      <w:pPr>
        <w:spacing w:after="160" w:line="276"/>
        <w:jc w:val="both"/>
      </w:pPr>
      <w:r>
        <w:rPr>
          <w:rFonts w:ascii="Arial" w:cs="Arial" w:eastAsia="Arial" w:hAnsi="Arial"/>
          <w:sz w:val="21"/>
          <w:szCs w:val="21"/>
        </w:rPr>
        <w:t xml:space="preserve">(b) Contacting, qualifying, and consulting with prospective merchant clients regarding MCA funding solutions;</w:t>
      </w:r>
    </w:p>
    <w:p>
      <w:pPr>
        <w:spacing w:after="160" w:line="276"/>
        <w:jc w:val="both"/>
      </w:pPr>
      <w:r>
        <w:rPr>
          <w:rFonts w:ascii="Arial" w:cs="Arial" w:eastAsia="Arial" w:hAnsi="Arial"/>
          <w:sz w:val="21"/>
          <w:szCs w:val="21"/>
        </w:rPr>
        <w:t xml:space="preserve">(c) Collecting required documentation from merchants including but not limited to business bank statements, applications, tax returns, and identification;</w:t>
      </w:r>
    </w:p>
    <w:p>
      <w:pPr>
        <w:spacing w:after="160" w:line="276"/>
        <w:jc w:val="both"/>
      </w:pPr>
      <w:r>
        <w:rPr>
          <w:rFonts w:ascii="Arial" w:cs="Arial" w:eastAsia="Arial" w:hAnsi="Arial"/>
          <w:sz w:val="21"/>
          <w:szCs w:val="21"/>
        </w:rPr>
        <w:t xml:space="preserve">(d) Submitting completed funding applications to the Company’s funder network for underwriting and approval;</w:t>
      </w:r>
    </w:p>
    <w:p>
      <w:pPr>
        <w:spacing w:after="160" w:line="276"/>
        <w:jc w:val="both"/>
      </w:pPr>
      <w:r>
        <w:rPr>
          <w:rFonts w:ascii="Arial" w:cs="Arial" w:eastAsia="Arial" w:hAnsi="Arial"/>
          <w:sz w:val="21"/>
          <w:szCs w:val="21"/>
        </w:rPr>
        <w:t xml:space="preserve">(e) Presenting funding offers to merchants and facilitating the acceptance and funding process;</w:t>
      </w:r>
    </w:p>
    <w:p>
      <w:pPr>
        <w:spacing w:after="160" w:line="276"/>
        <w:jc w:val="both"/>
      </w:pPr>
      <w:r>
        <w:rPr>
          <w:rFonts w:ascii="Arial" w:cs="Arial" w:eastAsia="Arial" w:hAnsi="Arial"/>
          <w:sz w:val="21"/>
          <w:szCs w:val="21"/>
        </w:rPr>
        <w:t xml:space="preserve">(f) Maintaining accurate records of all prospect interactions, deal status, and pipeline activity within the Company’s CRM system (GoHighLevel or successor platform).</w:t>
      </w:r>
    </w:p>
    <w:p>
      <w:pPr>
        <w:pBdr>
          <w:bottom w:val="single" w:color="1A3C6E" w:sz="2" w:space="4"/>
        </w:pBdr>
        <w:spacing w:before="360" w:after="120"/>
      </w:pPr>
      <w:r>
        <w:rPr>
          <w:rFonts w:ascii="Arial" w:cs="Arial" w:eastAsia="Arial" w:hAnsi="Arial"/>
          <w:b/>
          <w:bCs/>
          <w:color w:val="1A3C6E"/>
          <w:sz w:val="24"/>
          <w:szCs w:val="24"/>
        </w:rPr>
        <w:t xml:space="preserve">3. COMMISSION STRUCTURE</w:t>
      </w:r>
    </w:p>
    <w:p>
      <w:pPr>
        <w:spacing w:after="160" w:line="276"/>
        <w:jc w:val="both"/>
      </w:pPr>
      <w:r>
        <w:rPr>
          <w:rFonts w:ascii="Arial" w:cs="Arial" w:eastAsia="Arial" w:hAnsi="Arial"/>
          <w:sz w:val="21"/>
          <w:szCs w:val="21"/>
        </w:rPr>
        <w:t xml:space="preserve">The Contractor shall be compensated solely through commissions as outlined below. No base salary, hourly wage, or other fixed compensation is provided under this Agreement except as specified in Section 3(c).</w:t>
      </w:r>
    </w:p>
    <w:p>
      <w:pPr>
        <w:spacing w:before="200" w:after="80"/>
      </w:pPr>
      <w:r>
        <w:rPr>
          <w:rFonts w:ascii="Arial" w:cs="Arial" w:eastAsia="Arial" w:hAnsi="Arial"/>
          <w:b/>
          <w:bCs/>
          <w:color w:val="1A3C6E"/>
          <w:sz w:val="21"/>
          <w:szCs w:val="21"/>
        </w:rPr>
        <w:t xml:space="preserve">(a) Company-Provided Leads</w:t>
      </w:r>
    </w:p>
    <w:p>
      <w:pPr>
        <w:spacing w:after="160" w:line="276"/>
        <w:jc w:val="both"/>
      </w:pPr>
      <w:r>
        <w:rPr>
          <w:rFonts w:ascii="Arial" w:cs="Arial" w:eastAsia="Arial" w:hAnsi="Arial"/>
          <w:sz w:val="21"/>
          <w:szCs w:val="21"/>
        </w:rPr>
        <w:t xml:space="preserve">For deals originated from leads provided by the Company (including live transfers, Google Ads leads, and any other Company-generated lead sources), the Contractor shall receive a commission equal to the percentage specified in Schedule A of the total commission received by the Company from the funder upon successful funding of the deal.</w:t>
      </w:r>
    </w:p>
    <w:p>
      <w:pPr>
        <w:spacing w:before="200" w:after="80"/>
      </w:pPr>
      <w:r>
        <w:rPr>
          <w:rFonts w:ascii="Arial" w:cs="Arial" w:eastAsia="Arial" w:hAnsi="Arial"/>
          <w:b/>
          <w:bCs/>
          <w:color w:val="1A3C6E"/>
          <w:sz w:val="21"/>
          <w:szCs w:val="21"/>
        </w:rPr>
        <w:t xml:space="preserve">(b) Self-Generated Leads</w:t>
      </w:r>
    </w:p>
    <w:p>
      <w:pPr>
        <w:spacing w:after="160" w:line="276"/>
        <w:jc w:val="both"/>
      </w:pPr>
      <w:r>
        <w:rPr>
          <w:rFonts w:ascii="Arial" w:cs="Arial" w:eastAsia="Arial" w:hAnsi="Arial"/>
          <w:sz w:val="21"/>
          <w:szCs w:val="21"/>
        </w:rPr>
        <w:t xml:space="preserve">For deals originated from leads independently sourced by the Contractor (including personal referrals, the Contractor’s existing book of business, or leads generated through the Contractor’s own marketing efforts at Contractor’s expense), the Contractor shall receive a commission equal to the percentage specified in Schedule A of the total commission received by the Company from the funder upon successful funding.</w:t>
      </w:r>
    </w:p>
    <w:p>
      <w:pPr>
        <w:spacing w:before="200" w:after="80"/>
      </w:pPr>
      <w:r>
        <w:rPr>
          <w:rFonts w:ascii="Arial" w:cs="Arial" w:eastAsia="Arial" w:hAnsi="Arial"/>
          <w:b/>
          <w:bCs/>
          <w:color w:val="1A3C6E"/>
          <w:sz w:val="21"/>
          <w:szCs w:val="21"/>
        </w:rPr>
        <w:t xml:space="preserve">(c) Draw Against Commission (if applicable)</w:t>
      </w:r>
    </w:p>
    <w:p>
      <w:pPr>
        <w:spacing w:after="160" w:line="276"/>
        <w:jc w:val="both"/>
      </w:pPr>
      <w:r>
        <w:rPr>
          <w:rFonts w:ascii="Arial" w:cs="Arial" w:eastAsia="Arial" w:hAnsi="Arial"/>
          <w:sz w:val="21"/>
          <w:szCs w:val="21"/>
        </w:rPr>
        <w:t xml:space="preserve">If a draw is specified in Schedule A, the Company shall advance the Contractor a monthly draw amount for the Ramp-Up Period specified. The draw is a recoverable advance against future commissions. If commissions earned in any month exceed the draw amount, only the commission amount (not the draw) shall be paid. If commissions earned are less than the draw, the shortfall shall accumulate as a balance owed. Upon termination, any outstanding draw balance shall be deducted from final commission payments owed.</w:t>
      </w:r>
    </w:p>
    <w:p>
      <w:pPr>
        <w:spacing w:before="200" w:after="80"/>
      </w:pPr>
      <w:r>
        <w:rPr>
          <w:rFonts w:ascii="Arial" w:cs="Arial" w:eastAsia="Arial" w:hAnsi="Arial"/>
          <w:b/>
          <w:bCs/>
          <w:color w:val="1A3C6E"/>
          <w:sz w:val="21"/>
          <w:szCs w:val="21"/>
        </w:rPr>
        <w:t xml:space="preserve">(d) Renewal Commissions</w:t>
      </w:r>
    </w:p>
    <w:p>
      <w:pPr>
        <w:spacing w:after="160" w:line="276"/>
        <w:jc w:val="both"/>
      </w:pPr>
      <w:r>
        <w:rPr>
          <w:rFonts w:ascii="Arial" w:cs="Arial" w:eastAsia="Arial" w:hAnsi="Arial"/>
          <w:sz w:val="21"/>
          <w:szCs w:val="21"/>
        </w:rPr>
        <w:t xml:space="preserve">When a merchant previously funded through the Contractor’s efforts returns for additional funding (a "Renewal"), the Contractor shall receive the Renewal Commission Rate specified in Schedule A, provided the Contractor remains engaged under this Agreement at the time of the renewal funding.</w:t>
      </w:r>
    </w:p>
    <w:p>
      <w:pPr>
        <w:pBdr>
          <w:bottom w:val="single" w:color="1A3C6E" w:sz="2" w:space="4"/>
        </w:pBdr>
        <w:spacing w:before="360" w:after="120"/>
      </w:pPr>
      <w:r>
        <w:rPr>
          <w:rFonts w:ascii="Arial" w:cs="Arial" w:eastAsia="Arial" w:hAnsi="Arial"/>
          <w:b/>
          <w:bCs/>
          <w:color w:val="1A3C6E"/>
          <w:sz w:val="24"/>
          <w:szCs w:val="24"/>
        </w:rPr>
        <w:t xml:space="preserve">SCHEDULE A: COMMISSION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21"/>
                <w:szCs w:val="21"/>
              </w:rPr>
              <w:t xml:space="preserve">Commission Category</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Rate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Company-Provided Lead Commission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_____ % (recommended: 40–50%)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Self-Generated Lead Commission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_____ % (recommended: 60–70%)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Renewal Commission Rate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_____ % (recommended: 30–40%)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Monthly Draw Amount (if applicable)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 __________ / month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1"/>
                <w:szCs w:val="21"/>
              </w:rPr>
              <w:t xml:space="preserve">Draw Ramp-Up Period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1"/>
                <w:szCs w:val="21"/>
              </w:rPr>
              <w:t xml:space="preserve">_____ months (recommended: 90 days)</w:t>
            </w:r>
          </w:p>
        </w:tc>
      </w:tr>
    </w:tbl>
    <w:p>
      <w:pPr>
        <w:spacing w:after="80" w:line="276"/>
        <w:jc w:val="both"/>
      </w:pPr>
      <w:r>
        <w:rPr>
          <w:rFonts w:ascii="Arial" w:cs="Arial" w:eastAsia="Arial" w:hAnsi="Arial"/>
          <w:sz w:val="21"/>
          <w:szCs w:val="21"/>
        </w:rPr>
        <w:t xml:space="preserve"/>
      </w:r>
    </w:p>
    <w:p>
      <w:pPr>
        <w:spacing w:after="160" w:line="276"/>
        <w:jc w:val="both"/>
      </w:pPr>
      <w:r>
        <w:rPr>
          <w:rFonts w:ascii="Arial" w:cs="Arial" w:eastAsia="Arial" w:hAnsi="Arial"/>
          <w:i/>
          <w:iCs/>
          <w:sz w:val="21"/>
          <w:szCs w:val="21"/>
        </w:rPr>
        <w:t xml:space="preserve">Note: Commission is calculated as the Contractor’s percentage of the total broker commission received by the Company from the funder. For example, if the Company receives 8 points (8%) on a $50,000 funded deal ($4,000), and the Contractor’s rate is 50%, the Contractor earns $2,000.</w:t>
      </w:r>
    </w:p>
    <w:p>
      <w:pPr>
        <w:pBdr>
          <w:bottom w:val="single" w:color="1A3C6E" w:sz="2" w:space="4"/>
        </w:pBdr>
        <w:spacing w:before="360" w:after="120"/>
      </w:pPr>
      <w:r>
        <w:rPr>
          <w:rFonts w:ascii="Arial" w:cs="Arial" w:eastAsia="Arial" w:hAnsi="Arial"/>
          <w:b/>
          <w:bCs/>
          <w:color w:val="1A3C6E"/>
          <w:sz w:val="24"/>
          <w:szCs w:val="24"/>
        </w:rPr>
        <w:t xml:space="preserve">4. PAYMENT TERMS</w:t>
      </w:r>
    </w:p>
    <w:p>
      <w:pPr>
        <w:spacing w:after="160" w:line="276"/>
        <w:jc w:val="both"/>
      </w:pPr>
      <w:r>
        <w:rPr>
          <w:rFonts w:ascii="Arial" w:cs="Arial" w:eastAsia="Arial" w:hAnsi="Arial"/>
          <w:sz w:val="21"/>
          <w:szCs w:val="21"/>
        </w:rPr>
        <w:t xml:space="preserve">(a) Commissions shall be paid within five (5) business days after the Company receives the commission payment from the funder for each funded deal.</w:t>
      </w:r>
    </w:p>
    <w:p>
      <w:pPr>
        <w:spacing w:after="160" w:line="276"/>
        <w:jc w:val="both"/>
      </w:pPr>
      <w:r>
        <w:rPr>
          <w:rFonts w:ascii="Arial" w:cs="Arial" w:eastAsia="Arial" w:hAnsi="Arial"/>
          <w:sz w:val="21"/>
          <w:szCs w:val="21"/>
        </w:rPr>
        <w:t xml:space="preserve">(b) Commission payments are contingent upon the funder’s payment to the Company. If a funder rescinds, claws back, or reverses a commission payment for any reason (including but not limited to merchant default within the first billing cycle, fraud, or early payoff), the Company may deduct the corresponding amount from the Contractor’s future commission payments.</w:t>
      </w:r>
    </w:p>
    <w:p>
      <w:pPr>
        <w:spacing w:after="160" w:line="276"/>
        <w:jc w:val="both"/>
      </w:pPr>
      <w:r>
        <w:rPr>
          <w:rFonts w:ascii="Arial" w:cs="Arial" w:eastAsia="Arial" w:hAnsi="Arial"/>
          <w:sz w:val="21"/>
          <w:szCs w:val="21"/>
        </w:rPr>
        <w:t xml:space="preserve">(c) The Contractor shall receive a commission statement detailing each funded deal, deal amount, commission points received, and commission calculation with each payment.</w:t>
      </w:r>
    </w:p>
    <w:p>
      <w:pPr>
        <w:spacing w:after="160" w:line="276"/>
        <w:jc w:val="both"/>
      </w:pPr>
      <w:r>
        <w:rPr>
          <w:rFonts w:ascii="Arial" w:cs="Arial" w:eastAsia="Arial" w:hAnsi="Arial"/>
          <w:sz w:val="21"/>
          <w:szCs w:val="21"/>
        </w:rPr>
        <w:t xml:space="preserve">(d) All payments shall be made via ACH direct deposit or check to the account designated by the Contractor.</w:t>
      </w:r>
    </w:p>
    <w:p>
      <w:pPr>
        <w:pBdr>
          <w:bottom w:val="single" w:color="1A3C6E" w:sz="2" w:space="4"/>
        </w:pBdr>
        <w:spacing w:before="360" w:after="120"/>
      </w:pPr>
      <w:r>
        <w:rPr>
          <w:rFonts w:ascii="Arial" w:cs="Arial" w:eastAsia="Arial" w:hAnsi="Arial"/>
          <w:b/>
          <w:bCs/>
          <w:color w:val="1A3C6E"/>
          <w:sz w:val="24"/>
          <w:szCs w:val="24"/>
        </w:rPr>
        <w:t xml:space="preserve">5. INDEPENDENT CONTRACTOR STATUS</w:t>
      </w:r>
    </w:p>
    <w:p>
      <w:pPr>
        <w:spacing w:after="160" w:line="276"/>
        <w:jc w:val="both"/>
      </w:pPr>
      <w:r>
        <w:rPr>
          <w:rFonts w:ascii="Arial" w:cs="Arial" w:eastAsia="Arial" w:hAnsi="Arial"/>
          <w:sz w:val="21"/>
          <w:szCs w:val="21"/>
        </w:rPr>
        <w:t xml:space="preserve">(a) The Contractor is an independent contractor and not an employee, partner, agent, or joint venturer of the Company. Nothing in this Agreement shall be construed to create an employment relationship.</w:t>
      </w:r>
    </w:p>
    <w:p>
      <w:pPr>
        <w:spacing w:after="160" w:line="276"/>
        <w:jc w:val="both"/>
      </w:pPr>
      <w:r>
        <w:rPr>
          <w:rFonts w:ascii="Arial" w:cs="Arial" w:eastAsia="Arial" w:hAnsi="Arial"/>
          <w:sz w:val="21"/>
          <w:szCs w:val="21"/>
        </w:rPr>
        <w:t xml:space="preserve">(b) The Contractor shall be solely responsible for all federal, state, and local taxes, including self-employment taxes, on all compensation received under this Agreement. The Company will issue a Form 1099-NEC for annual compensation exceeding $600.</w:t>
      </w:r>
    </w:p>
    <w:p>
      <w:pPr>
        <w:spacing w:after="160" w:line="276"/>
        <w:jc w:val="both"/>
      </w:pPr>
      <w:r>
        <w:rPr>
          <w:rFonts w:ascii="Arial" w:cs="Arial" w:eastAsia="Arial" w:hAnsi="Arial"/>
          <w:sz w:val="21"/>
          <w:szCs w:val="21"/>
        </w:rPr>
        <w:t xml:space="preserve">(c) The Contractor shall not be entitled to any employee benefits, including but not limited to health insurance, retirement plans, paid time off, workers’ compensation, or unemployment insurance.</w:t>
      </w:r>
    </w:p>
    <w:p>
      <w:pPr>
        <w:spacing w:after="160" w:line="276"/>
        <w:jc w:val="both"/>
      </w:pPr>
      <w:r>
        <w:rPr>
          <w:rFonts w:ascii="Arial" w:cs="Arial" w:eastAsia="Arial" w:hAnsi="Arial"/>
          <w:sz w:val="21"/>
          <w:szCs w:val="21"/>
        </w:rPr>
        <w:t xml:space="preserve">(d) The Contractor shall have the right to control the manner and means of performing services, including setting their own hours and work location, subject to reasonable availability requirements for handling live transfers during business hours.</w:t>
      </w:r>
    </w:p>
    <w:p>
      <w:pPr>
        <w:pBdr>
          <w:bottom w:val="single" w:color="1A3C6E" w:sz="2" w:space="4"/>
        </w:pBdr>
        <w:spacing w:before="360" w:after="120"/>
      </w:pPr>
      <w:r>
        <w:rPr>
          <w:rFonts w:ascii="Arial" w:cs="Arial" w:eastAsia="Arial" w:hAnsi="Arial"/>
          <w:b/>
          <w:bCs/>
          <w:color w:val="1A3C6E"/>
          <w:sz w:val="24"/>
          <w:szCs w:val="24"/>
        </w:rPr>
        <w:t xml:space="preserve">6. EXCLUSIVITY AND RESTRICTIVE COVENANTS</w:t>
      </w:r>
    </w:p>
    <w:p>
      <w:pPr>
        <w:spacing w:after="160" w:line="276"/>
        <w:jc w:val="both"/>
      </w:pPr>
      <w:r>
        <w:rPr>
          <w:rFonts w:ascii="Arial" w:cs="Arial" w:eastAsia="Arial" w:hAnsi="Arial"/>
          <w:sz w:val="21"/>
          <w:szCs w:val="21"/>
        </w:rPr>
        <w:t xml:space="preserve">(a) Non-Exclusivity: The Contractor may engage in other business activities during the term of this Agreement, provided such activities do not directly compete with the Company’s MCA brokerage operations or create a conflict of interest.</w:t>
      </w:r>
    </w:p>
    <w:p>
      <w:pPr>
        <w:spacing w:after="160" w:line="276"/>
        <w:jc w:val="both"/>
      </w:pPr>
      <w:r>
        <w:rPr>
          <w:rFonts w:ascii="Arial" w:cs="Arial" w:eastAsia="Arial" w:hAnsi="Arial"/>
          <w:sz w:val="21"/>
          <w:szCs w:val="21"/>
        </w:rPr>
        <w:t xml:space="preserve">(b) Non-Solicitation: During the term of this Agreement and for twelve (12) months following termination, the Contractor shall not directly or indirectly solicit, contact, or attempt to do business with any merchant client who was funded through the Company during the Contractor’s engagement, for the purpose of providing competing MCA or business funding services outside of the Company.</w:t>
      </w:r>
    </w:p>
    <w:p>
      <w:pPr>
        <w:spacing w:after="160" w:line="276"/>
        <w:jc w:val="both"/>
      </w:pPr>
      <w:r>
        <w:rPr>
          <w:rFonts w:ascii="Arial" w:cs="Arial" w:eastAsia="Arial" w:hAnsi="Arial"/>
          <w:sz w:val="21"/>
          <w:szCs w:val="21"/>
        </w:rPr>
        <w:t xml:space="preserve">(c) Non-Circumvention: The Contractor shall not circumvent the Company by submitting deals directly to any funder introduced by the Company, or by redirecting Company-provided leads to any third party, during the term or for twelve (12) months following termination.</w:t>
      </w:r>
    </w:p>
    <w:p>
      <w:pPr>
        <w:spacing w:after="160" w:line="276"/>
        <w:jc w:val="both"/>
      </w:pPr>
      <w:r>
        <w:rPr>
          <w:rFonts w:ascii="Arial" w:cs="Arial" w:eastAsia="Arial" w:hAnsi="Arial"/>
          <w:sz w:val="21"/>
          <w:szCs w:val="21"/>
        </w:rPr>
        <w:t xml:space="preserve">(d) The Contractor acknowledges that the Company’s funder relationships, lead sources, pricing structures, and client lists constitute confidential trade secrets and proprietary information.</w:t>
      </w:r>
    </w:p>
    <w:p>
      <w:r>
        <w:br w:type="page"/>
      </w:r>
    </w:p>
    <w:p>
      <w:pPr>
        <w:pBdr>
          <w:bottom w:val="single" w:color="1A3C6E" w:sz="2" w:space="4"/>
        </w:pBdr>
        <w:spacing w:before="360" w:after="120"/>
      </w:pPr>
      <w:r>
        <w:rPr>
          <w:rFonts w:ascii="Arial" w:cs="Arial" w:eastAsia="Arial" w:hAnsi="Arial"/>
          <w:b/>
          <w:bCs/>
          <w:color w:val="1A3C6E"/>
          <w:sz w:val="24"/>
          <w:szCs w:val="24"/>
        </w:rPr>
        <w:t xml:space="preserve">7. CONFIDENTIALITY</w:t>
      </w:r>
    </w:p>
    <w:p>
      <w:pPr>
        <w:spacing w:after="160" w:line="276"/>
        <w:jc w:val="both"/>
      </w:pPr>
      <w:r>
        <w:rPr>
          <w:rFonts w:ascii="Arial" w:cs="Arial" w:eastAsia="Arial" w:hAnsi="Arial"/>
          <w:sz w:val="21"/>
          <w:szCs w:val="21"/>
        </w:rPr>
        <w:t xml:space="preserve">The Contractor agrees to maintain strict confidentiality regarding all Company information, including but not limited to: funder relationships, commission structures, lead sources and costs, merchant client data, CRM data, underwriting guidelines, and business strategies. This obligation survives termination of this Agreement.</w:t>
      </w:r>
    </w:p>
    <w:p>
      <w:pPr>
        <w:pBdr>
          <w:bottom w:val="single" w:color="1A3C6E" w:sz="2" w:space="4"/>
        </w:pBdr>
        <w:spacing w:before="360" w:after="120"/>
      </w:pPr>
      <w:r>
        <w:rPr>
          <w:rFonts w:ascii="Arial" w:cs="Arial" w:eastAsia="Arial" w:hAnsi="Arial"/>
          <w:b/>
          <w:bCs/>
          <w:color w:val="1A3C6E"/>
          <w:sz w:val="24"/>
          <w:szCs w:val="24"/>
        </w:rPr>
        <w:t xml:space="preserve">8. REGULATORY COMPLIANCE</w:t>
      </w:r>
    </w:p>
    <w:p>
      <w:pPr>
        <w:spacing w:after="160" w:line="276"/>
        <w:jc w:val="both"/>
      </w:pPr>
      <w:r>
        <w:rPr>
          <w:rFonts w:ascii="Arial" w:cs="Arial" w:eastAsia="Arial" w:hAnsi="Arial"/>
          <w:sz w:val="21"/>
          <w:szCs w:val="21"/>
        </w:rPr>
        <w:t xml:space="preserve">(a) The Contractor shall comply with all applicable federal, state, and local laws governing MCA brokerage activities, including but not limited to state disclosure requirements (New York, California, Virginia, Utah, Florida, and others as applicable), TCPA compliance for communications, and any applicable licensing requirements.</w:t>
      </w:r>
    </w:p>
    <w:p>
      <w:pPr>
        <w:spacing w:after="160" w:line="276"/>
        <w:jc w:val="both"/>
      </w:pPr>
      <w:r>
        <w:rPr>
          <w:rFonts w:ascii="Arial" w:cs="Arial" w:eastAsia="Arial" w:hAnsi="Arial"/>
          <w:sz w:val="21"/>
          <w:szCs w:val="21"/>
        </w:rPr>
        <w:t xml:space="preserve">(b) The Contractor shall not make any false, misleading, or deceptive statements to merchants regarding funding terms, approval likelihood, or the nature of MCA products.</w:t>
      </w:r>
    </w:p>
    <w:p>
      <w:pPr>
        <w:spacing w:after="160" w:line="276"/>
        <w:jc w:val="both"/>
      </w:pPr>
      <w:r>
        <w:rPr>
          <w:rFonts w:ascii="Arial" w:cs="Arial" w:eastAsia="Arial" w:hAnsi="Arial"/>
          <w:sz w:val="21"/>
          <w:szCs w:val="21"/>
        </w:rPr>
        <w:t xml:space="preserve">(c) The Contractor shall accurately represent MCA products as purchases of future receivables, not loans, and shall not misrepresent factor rates, retrieval percentages, or total payback amounts.</w:t>
      </w:r>
    </w:p>
    <w:p>
      <w:pPr>
        <w:pBdr>
          <w:bottom w:val="single" w:color="1A3C6E" w:sz="2" w:space="4"/>
        </w:pBdr>
        <w:spacing w:before="360" w:after="120"/>
      </w:pPr>
      <w:r>
        <w:rPr>
          <w:rFonts w:ascii="Arial" w:cs="Arial" w:eastAsia="Arial" w:hAnsi="Arial"/>
          <w:b/>
          <w:bCs/>
          <w:color w:val="1A3C6E"/>
          <w:sz w:val="24"/>
          <w:szCs w:val="24"/>
        </w:rPr>
        <w:t xml:space="preserve">9. TERM AND TERMINATION</w:t>
      </w:r>
    </w:p>
    <w:p>
      <w:pPr>
        <w:spacing w:after="160" w:line="276"/>
        <w:jc w:val="both"/>
      </w:pPr>
      <w:r>
        <w:rPr>
          <w:rFonts w:ascii="Arial" w:cs="Arial" w:eastAsia="Arial" w:hAnsi="Arial"/>
          <w:sz w:val="21"/>
          <w:szCs w:val="21"/>
        </w:rPr>
        <w:t xml:space="preserve">(a) This Agreement shall commence on the Effective Date and continue until terminated by either party.</w:t>
      </w:r>
    </w:p>
    <w:p>
      <w:pPr>
        <w:spacing w:after="160" w:line="276"/>
        <w:jc w:val="both"/>
      </w:pPr>
      <w:r>
        <w:rPr>
          <w:rFonts w:ascii="Arial" w:cs="Arial" w:eastAsia="Arial" w:hAnsi="Arial"/>
          <w:sz w:val="21"/>
          <w:szCs w:val="21"/>
        </w:rPr>
        <w:t xml:space="preserve">(b) Either party may terminate this Agreement at any time, with or without cause, by providing fourteen (14) days’ written notice to the other party.</w:t>
      </w:r>
    </w:p>
    <w:p>
      <w:pPr>
        <w:spacing w:after="160" w:line="276"/>
        <w:jc w:val="both"/>
      </w:pPr>
      <w:r>
        <w:rPr>
          <w:rFonts w:ascii="Arial" w:cs="Arial" w:eastAsia="Arial" w:hAnsi="Arial"/>
          <w:sz w:val="21"/>
          <w:szCs w:val="21"/>
        </w:rPr>
        <w:t xml:space="preserve">(c) The Company may terminate this Agreement immediately and without notice in the event of: (i) fraud, dishonesty, or material misrepresentation by the Contractor; (ii) violation of compliance obligations; (iii) breach of confidentiality or non-circumvention provisions; or (iv) any conduct that, in the Company’s sole judgment, is harmful to the Company’s reputation or business relationships.</w:t>
      </w:r>
    </w:p>
    <w:p>
      <w:pPr>
        <w:spacing w:after="160" w:line="276"/>
        <w:jc w:val="both"/>
      </w:pPr>
      <w:r>
        <w:rPr>
          <w:rFonts w:ascii="Arial" w:cs="Arial" w:eastAsia="Arial" w:hAnsi="Arial"/>
          <w:sz w:val="21"/>
          <w:szCs w:val="21"/>
        </w:rPr>
        <w:t xml:space="preserve">(d) Upon termination, the Company shall pay all earned but unpaid commissions for deals that have funded prior to the termination date, subject to any draw balance deductions. Deals in pipeline that have not yet funded at the time of termination shall not be eligible for commission unless funded within thirty (30) days of termination and originated by the Contractor.</w:t>
      </w:r>
    </w:p>
    <w:p>
      <w:pPr>
        <w:spacing w:after="160" w:line="276"/>
        <w:jc w:val="both"/>
      </w:pPr>
      <w:r>
        <w:rPr>
          <w:rFonts w:ascii="Arial" w:cs="Arial" w:eastAsia="Arial" w:hAnsi="Arial"/>
          <w:sz w:val="21"/>
          <w:szCs w:val="21"/>
        </w:rPr>
        <w:t xml:space="preserve">(e) Upon termination, the Contractor shall immediately return or destroy all Company materials, cease access to Company systems, and certify in writing that all confidential information has been returned or destroyed.</w:t>
      </w:r>
    </w:p>
    <w:p>
      <w:pPr>
        <w:pBdr>
          <w:bottom w:val="single" w:color="1A3C6E" w:sz="2" w:space="4"/>
        </w:pBdr>
        <w:spacing w:before="360" w:after="120"/>
      </w:pPr>
      <w:r>
        <w:rPr>
          <w:rFonts w:ascii="Arial" w:cs="Arial" w:eastAsia="Arial" w:hAnsi="Arial"/>
          <w:b/>
          <w:bCs/>
          <w:color w:val="1A3C6E"/>
          <w:sz w:val="24"/>
          <w:szCs w:val="24"/>
        </w:rPr>
        <w:t xml:space="preserve">10. DISPUTE RESOLUTION</w:t>
      </w:r>
    </w:p>
    <w:p>
      <w:pPr>
        <w:spacing w:after="160" w:line="276"/>
        <w:jc w:val="both"/>
      </w:pPr>
      <w:r>
        <w:rPr>
          <w:rFonts w:ascii="Arial" w:cs="Arial" w:eastAsia="Arial" w:hAnsi="Arial"/>
          <w:sz w:val="21"/>
          <w:szCs w:val="21"/>
        </w:rPr>
        <w:t xml:space="preserve">Any disputes arising under this Agreement shall be resolved first through good-faith negotiation between the parties. If negotiation fails, disputes shall be submitted to binding arbitration in Miami-Dade County, Florida, in accordance with the rules of the American Arbitration Association. The prevailing party shall be entitled to recover reasonable attorneys’ fees and costs.</w:t>
      </w:r>
    </w:p>
    <w:p>
      <w:pPr>
        <w:pBdr>
          <w:bottom w:val="single" w:color="1A3C6E" w:sz="2" w:space="4"/>
        </w:pBdr>
        <w:spacing w:before="360" w:after="120"/>
      </w:pPr>
      <w:r>
        <w:rPr>
          <w:rFonts w:ascii="Arial" w:cs="Arial" w:eastAsia="Arial" w:hAnsi="Arial"/>
          <w:b/>
          <w:bCs/>
          <w:color w:val="1A3C6E"/>
          <w:sz w:val="24"/>
          <w:szCs w:val="24"/>
        </w:rPr>
        <w:t xml:space="preserve">11. GENERAL PROVISIONS</w:t>
      </w:r>
    </w:p>
    <w:p>
      <w:pPr>
        <w:spacing w:after="160" w:line="276"/>
        <w:jc w:val="both"/>
      </w:pPr>
      <w:r>
        <w:rPr>
          <w:rFonts w:ascii="Arial" w:cs="Arial" w:eastAsia="Arial" w:hAnsi="Arial"/>
          <w:sz w:val="21"/>
          <w:szCs w:val="21"/>
        </w:rPr>
        <w:t xml:space="preserve">(a) Entire Agreement: This Agreement, including Schedule A, constitutes the entire agreement between the parties and supersedes all prior oral or written agreements.</w:t>
      </w:r>
    </w:p>
    <w:p>
      <w:pPr>
        <w:spacing w:after="160" w:line="276"/>
        <w:jc w:val="both"/>
      </w:pPr>
      <w:r>
        <w:rPr>
          <w:rFonts w:ascii="Arial" w:cs="Arial" w:eastAsia="Arial" w:hAnsi="Arial"/>
          <w:sz w:val="21"/>
          <w:szCs w:val="21"/>
        </w:rPr>
        <w:t xml:space="preserve">(b) Amendments: This Agreement may only be amended in writing signed by both parties.</w:t>
      </w:r>
    </w:p>
    <w:p>
      <w:pPr>
        <w:spacing w:after="160" w:line="276"/>
        <w:jc w:val="both"/>
      </w:pPr>
      <w:r>
        <w:rPr>
          <w:rFonts w:ascii="Arial" w:cs="Arial" w:eastAsia="Arial" w:hAnsi="Arial"/>
          <w:sz w:val="21"/>
          <w:szCs w:val="21"/>
        </w:rPr>
        <w:t xml:space="preserve">(c) Governing Law: This Agreement shall be governed by the laws of the State of Florida.</w:t>
      </w:r>
    </w:p>
    <w:p>
      <w:pPr>
        <w:spacing w:after="160" w:line="276"/>
        <w:jc w:val="both"/>
      </w:pPr>
      <w:r>
        <w:rPr>
          <w:rFonts w:ascii="Arial" w:cs="Arial" w:eastAsia="Arial" w:hAnsi="Arial"/>
          <w:sz w:val="21"/>
          <w:szCs w:val="21"/>
        </w:rPr>
        <w:t xml:space="preserve">(d) Severability: If any provision is held unenforceable, the remaining provisions shall continue in full force.</w:t>
      </w:r>
    </w:p>
    <w:p>
      <w:pPr>
        <w:spacing w:after="160" w:line="276"/>
        <w:jc w:val="both"/>
      </w:pPr>
      <w:r>
        <w:rPr>
          <w:rFonts w:ascii="Arial" w:cs="Arial" w:eastAsia="Arial" w:hAnsi="Arial"/>
          <w:sz w:val="21"/>
          <w:szCs w:val="21"/>
        </w:rPr>
        <w:t xml:space="preserve">(e) Assignment: The Contractor may not assign this Agreement without prior written consent of the Company.</w:t>
      </w:r>
    </w:p>
    <w:p>
      <w:pPr>
        <w:spacing w:after="160" w:line="276"/>
        <w:jc w:val="both"/>
      </w:pPr>
      <w:r>
        <w:rPr>
          <w:rFonts w:ascii="Arial" w:cs="Arial" w:eastAsia="Arial" w:hAnsi="Arial"/>
          <w:sz w:val="21"/>
          <w:szCs w:val="21"/>
        </w:rPr>
        <w:t xml:space="preserve">(f) Notices: All notices shall be in writing and delivered to the addresses listed above or updated in writing.</w:t>
      </w:r>
    </w:p>
    <w:p>
      <w:pPr>
        <w:pBdr>
          <w:bottom w:val="single" w:color="1A3C6E" w:sz="2" w:space="4"/>
        </w:pBdr>
        <w:spacing w:before="360" w:after="120"/>
      </w:pPr>
      <w:r>
        <w:rPr>
          <w:rFonts w:ascii="Arial" w:cs="Arial" w:eastAsia="Arial" w:hAnsi="Arial"/>
          <w:b/>
          <w:bCs/>
          <w:color w:val="1A3C6E"/>
          <w:sz w:val="24"/>
          <w:szCs w:val="24"/>
        </w:rPr>
        <w:t xml:space="preserve">12. SIGNATURES</w:t>
      </w:r>
    </w:p>
    <w:p>
      <w:pPr>
        <w:spacing w:after="160" w:line="276"/>
        <w:jc w:val="both"/>
      </w:pPr>
      <w:r>
        <w:rPr>
          <w:rFonts w:ascii="Arial" w:cs="Arial" w:eastAsia="Arial" w:hAnsi="Arial"/>
          <w:sz w:val="21"/>
          <w:szCs w:val="21"/>
        </w:rPr>
        <w:t xml:space="preserve">By signing below, both parties acknowledge that they have read, understand, and agree to all terms and conditions of this Agreement.</w:t>
      </w:r>
    </w:p>
    <w:p>
      <w:pPr>
        <w:spacing w:before="400" w:after="80"/>
      </w:pPr>
      <w:r>
        <w:rPr>
          <w:rFonts w:ascii="Arial" w:cs="Arial" w:eastAsia="Arial" w:hAnsi="Arial"/>
          <w:b/>
          <w:bCs/>
          <w:color w:val="1A3C6E"/>
          <w:sz w:val="22"/>
          <w:szCs w:val="22"/>
        </w:rPr>
        <w:t xml:space="preserve">COMPANY:</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Signature — Authorized Representative, MFunding LLC</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Printed Name</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Title</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Date</w:t>
      </w:r>
    </w:p>
    <w:p>
      <w:pPr>
        <w:spacing w:before="400" w:after="80"/>
      </w:pPr>
      <w:r>
        <w:rPr>
          <w:rFonts w:ascii="Arial" w:cs="Arial" w:eastAsia="Arial" w:hAnsi="Arial"/>
          <w:b/>
          <w:bCs/>
          <w:color w:val="1A3C6E"/>
          <w:sz w:val="22"/>
          <w:szCs w:val="22"/>
        </w:rPr>
        <w:t xml:space="preserve">CONTRACTOR:</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Signature — Independent Contractor</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Printed Name</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Date</w:t>
      </w:r>
    </w:p>
    <w:p>
      <w:pPr>
        <w:spacing w:before="400" w:after="40"/>
      </w:pPr>
      <w:r>
        <w:rPr>
          <w:rFonts w:ascii="Arial" w:cs="Arial" w:eastAsia="Arial" w:hAnsi="Arial"/>
          <w:sz w:val="21"/>
          <w:szCs w:val="21"/>
        </w:rPr>
        <w:t xml:space="preserve">________________________________________</w:t>
      </w:r>
    </w:p>
    <w:p>
      <w:pPr>
        <w:spacing w:after="200"/>
      </w:pPr>
      <w:r>
        <w:rPr>
          <w:rFonts w:ascii="Arial" w:cs="Arial" w:eastAsia="Arial" w:hAnsi="Arial"/>
          <w:i/>
          <w:iCs/>
          <w:color w:val="666666"/>
          <w:sz w:val="18"/>
          <w:szCs w:val="18"/>
        </w:rPr>
        <w:t xml:space="preserve">Tax ID / SSN (last 4 digits for verification): XXX-XX-________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MFunding.com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6"/>
      </w:pBdr>
      <w:spacing w:after="200"/>
    </w:pPr>
    <w:r>
      <w:rPr>
        <w:rFonts w:ascii="Arial" w:cs="Arial" w:eastAsia="Arial" w:hAnsi="Arial"/>
        <w:b/>
        <w:bCs/>
        <w:color w:val="1A3C6E"/>
        <w:sz w:val="28"/>
        <w:szCs w:val="28"/>
      </w:rPr>
      <w:t xml:space="preserve">MFUNDING  </w:t>
    </w:r>
    <w:r>
      <w:rPr>
        <w:rFonts w:ascii="Arial" w:cs="Arial" w:eastAsia="Arial" w:hAnsi="Arial"/>
        <w:color w:val="888888"/>
        <w:sz w:val="20"/>
        <w:szCs w:val="20"/>
      </w:rPr>
      <w:t xml:space="preserve">|  Independent Contractor Commission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2026-03-01T04:10:02.158Z</dcterms:created>
  <dcterms:modified xsi:type="dcterms:W3CDTF">2026-03-01T04:10:02.159Z</dcterms:modified>
</cp:coreProperties>
</file>

<file path=docProps/custom.xml><?xml version="1.0" encoding="utf-8"?>
<Properties xmlns="http://schemas.openxmlformats.org/officeDocument/2006/custom-properties" xmlns:vt="http://schemas.openxmlformats.org/officeDocument/2006/docPropsVTypes"/>
</file>