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Multi-Factor Authentication Implementation</w:t>
      </w:r>
    </w:p>
    <w:p>
      <w:r>
        <w:t>Agentic Voice, Inc. — d/b/a MFunding.net | Momentum Funding</w:t>
      </w:r>
      <w:r>
        <w:rPr>
          <w:i/>
        </w:rPr>
        <w:br/>
        <w:t>Prepared July 28, 2026 · Owner: Ernesto Lee, CEO &amp; Security Officer</w:t>
      </w:r>
    </w:p>
    <w:p>
      <w:r>
        <w:t>Per Section 5 of our Information Security Policy (v1.0) and Section 4 of our Access Control Policy (v1.0), multi-factor authentication is required for administrative access to the critical systems that store or process consumer financial data. The evidence below documents the enrolled authenticator-app (TOTP) factor on our primary production data platform.</w:t>
      </w:r>
    </w:p>
    <w:p>
      <w:pPr>
        <w:pStyle w:val="Heading1"/>
      </w:pPr>
      <w:r>
        <w:t>Supabase — production database, storage &amp; secrets vault (primary system holding Plaid-derived data)</w:t>
      </w:r>
    </w:p>
    <w:p>
      <w:r>
        <w:t>MFA is enabled on the administrative account via an authenticator app (TOTP). Screenshot of the account security settings showing the configured factor:</w:t>
      </w:r>
    </w:p>
    <w:p>
      <w:r>
        <w:drawing>
          <wp:inline xmlns:a="http://schemas.openxmlformats.org/drawingml/2006/main" xmlns:pic="http://schemas.openxmlformats.org/drawingml/2006/picture">
            <wp:extent cx="5943600" cy="26190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abase-mfa-enabl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90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55637A"/>
          <w:sz w:val="16"/>
        </w:rPr>
        <w:t>Supabase → Account → Security: "Multi-factor authentication (MFA) — 1 APP CONFIGURED", authenticator app "MFunding.net", added 28 Jul 2026 18:15 (UTC-4).</w:t>
      </w:r>
    </w:p>
    <w:p>
      <w:r>
        <w:t>Administrative access to the supporting platforms in scope (GitHub — source control; Google Workspace — email/identity) is protected by authenticator-app two-step verification under the same policy requirement.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