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Instruct the optimizer to use the pending statistics in this session.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Set the initialization parameter </w:t>
      </w:r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OPTIMIZER_USE_PENDING_STATISTICS</w:t>
      </w: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to </w:t>
      </w:r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true</w:t>
      </w: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as shown: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ALTER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SESSION SET OPTIMIZER_USE_PENDING_STATISTICS = true;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Run a workload.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The following example changes the email addresses of all customers named Bruce Chalmers: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proofErr w:type="gram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UPDATE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SET   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cust_email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='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ChalmersB@company.example.icom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' 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WHERE 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cust_first_name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'Bruce' 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AND   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cust_last_name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'Chalmers';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COMMIT;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The optimizer uses the pending statistics instead of the published statistics when compiling all SQL statements in this session.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Publish the pending statistics for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For example, execute the following program: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BEGIN</w:t>
      </w:r>
      <w:proofErr w:type="spellEnd"/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DBMS_STATS.PUBLISH_PENDING_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STATS(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'SH','CUSTOMERS');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END;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/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Change the publishing preferences for the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table.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For example, execute the following program: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BEGIN</w:t>
      </w:r>
      <w:proofErr w:type="spellEnd"/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DBMS_STATS.SET_TABLE_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PREFS(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', 'sales', 'publish', 'false');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END;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/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Subsequently, when you gather statistics on the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table, the database does not automatically publish statistics when the gather job completes. Instead, the database stores the statistics in the </w:t>
      </w:r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USER_TAB_PENDING_STATS</w:t>
      </w: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table.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Gather statistics for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For example, run the following program: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BEGIN</w:t>
      </w:r>
      <w:proofErr w:type="spellEnd"/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DBMS_STATS.GATHER_TABLE_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STATS(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','sales');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END;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/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Delete the pending statistics for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Assume you change your mind and now want to delete pending statistics for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. Run the following program: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BEGIN</w:t>
      </w:r>
      <w:proofErr w:type="spellEnd"/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DBMS_STATS.DELETE_PENDING_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STATS(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','sales');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END;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/</w:t>
      </w:r>
    </w:p>
    <w:p w:rsidR="00FE0419" w:rsidRPr="00FE0419" w:rsidRDefault="00FE0419" w:rsidP="00FE0419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Change the publishing preferences for the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and 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0"/>
          <w:szCs w:val="20"/>
        </w:rPr>
        <w:t>sh.sales</w:t>
      </w:r>
      <w:proofErr w:type="spellEnd"/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 tables back to their default setting.</w:t>
      </w:r>
    </w:p>
    <w:p w:rsidR="00FE0419" w:rsidRPr="00FE0419" w:rsidRDefault="00FE0419" w:rsidP="00FE0419">
      <w:pPr>
        <w:shd w:val="clear" w:color="auto" w:fill="FCFBFA"/>
        <w:spacing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</w:rPr>
      </w:pPr>
      <w:r w:rsidRPr="00FE0419">
        <w:rPr>
          <w:rFonts w:ascii="Segoe UI" w:eastAsia="Times New Roman" w:hAnsi="Segoe UI" w:cs="Segoe UI"/>
          <w:color w:val="1A1816"/>
          <w:sz w:val="24"/>
          <w:szCs w:val="24"/>
        </w:rPr>
        <w:t>For example, execute the following program: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r w:rsidRPr="00FE041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Copy</w:t>
      </w: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BEGIN</w:t>
      </w:r>
      <w:proofErr w:type="spellEnd"/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DBMS_STATS.SET_TABLE_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PREFS(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', 'customers', 'publish', null);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DBMS_STATS.SET_TABLE_</w:t>
      </w:r>
      <w:proofErr w:type="gram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PREFS(</w:t>
      </w:r>
      <w:proofErr w:type="gram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</w:t>
      </w:r>
      <w:proofErr w:type="spellStart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</w:t>
      </w:r>
      <w:proofErr w:type="spellEnd"/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', 'sales', 'publish', null);</w:t>
      </w:r>
    </w:p>
    <w:p w:rsidR="00FE0419" w:rsidRPr="00FE0419" w:rsidRDefault="00FE0419" w:rsidP="00FE041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E0419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END;</w:t>
      </w:r>
    </w:p>
    <w:p w:rsidR="00766493" w:rsidRDefault="00FE0419">
      <w:bookmarkStart w:id="0" w:name="_GoBack"/>
      <w:bookmarkEnd w:id="0"/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57F34"/>
    <w:multiLevelType w:val="multilevel"/>
    <w:tmpl w:val="969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19"/>
    <w:rsid w:val="00010C14"/>
    <w:rsid w:val="00CD0B34"/>
    <w:rsid w:val="00D24719"/>
    <w:rsid w:val="00DA7418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5289E-3E4C-4B98-9681-81645ED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styleId="NormalWeb">
    <w:name w:val="Normal (Web)"/>
    <w:basedOn w:val="Normal"/>
    <w:uiPriority w:val="99"/>
    <w:semiHidden/>
    <w:unhideWhenUsed/>
    <w:rsid w:val="00FE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04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19"/>
    <w:rPr>
      <w:rFonts w:ascii="Courier New" w:eastAsia="Times New Roman" w:hAnsi="Courier New" w:cs="Courier New"/>
      <w:sz w:val="20"/>
      <w:szCs w:val="20"/>
    </w:rPr>
  </w:style>
  <w:style w:type="character" w:customStyle="1" w:styleId="copy-btn-text">
    <w:name w:val="copy-btn-text"/>
    <w:basedOn w:val="DefaultParagraphFont"/>
    <w:rsid w:val="00FE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2021-08-17T23:39:00Z</dcterms:created>
  <dcterms:modified xsi:type="dcterms:W3CDTF">2021-08-17T23:39:00Z</dcterms:modified>
</cp:coreProperties>
</file>