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A68B90">
      <w:pPr>
        <w:ind w:firstLine="420" w:firstLineChars="0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 w14:paraId="1D667485">
      <w:pPr>
        <w:jc w:val="center"/>
        <w:rPr>
          <w:rFonts w:hint="default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default" w:asciiTheme="minorEastAsia" w:hAnsiTheme="minorEastAsia" w:cstheme="minorEastAsia"/>
          <w:sz w:val="21"/>
          <w:szCs w:val="21"/>
          <w:lang w:val="en-US" w:eastAsia="zh-CN"/>
        </w:rPr>
        <w:t>Table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 xml:space="preserve">1 </w:t>
      </w:r>
      <w:r>
        <w:rPr>
          <w:rFonts w:hint="default" w:asciiTheme="minorEastAsia" w:hAnsiTheme="minorEastAsia" w:cstheme="minorEastAsia"/>
          <w:b w:val="0"/>
          <w:color w:val="000000"/>
          <w:sz w:val="21"/>
          <w:szCs w:val="21"/>
          <w:vertAlign w:val="baseline"/>
          <w:lang w:val="en-US" w:eastAsia="zh-CN"/>
        </w:rPr>
        <w:t>Initial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 xml:space="preserve"> * </w:t>
      </w:r>
      <w:r>
        <w:rPr>
          <w:rFonts w:hint="default" w:asciiTheme="minorEastAsia" w:hAnsiTheme="minorEastAsia" w:cstheme="minorEastAsia"/>
          <w:b w:val="0"/>
          <w:color w:val="000000"/>
          <w:sz w:val="21"/>
          <w:szCs w:val="21"/>
          <w:vertAlign w:val="baseline"/>
          <w:lang w:val="en-US" w:eastAsia="zh-CN"/>
        </w:rPr>
        <w:t>New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 xml:space="preserve"> Crosstabulation</w:t>
      </w:r>
      <w:r>
        <w:rPr>
          <w:rFonts w:hint="default" w:asciiTheme="minorEastAsia" w:hAnsiTheme="minorEastAsia" w:cstheme="minorEastAsia"/>
          <w:sz w:val="21"/>
          <w:szCs w:val="21"/>
          <w:lang w:val="en-US" w:eastAsia="zh-CN"/>
        </w:rPr>
        <w:t xml:space="preserve"> Analysis</w:t>
      </w:r>
    </w:p>
    <w:tbl>
      <w:tblPr>
        <w:tblStyle w:val="3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7"/>
        <w:gridCol w:w="1103"/>
        <w:gridCol w:w="1447"/>
        <w:gridCol w:w="1333"/>
        <w:gridCol w:w="767"/>
        <w:gridCol w:w="903"/>
        <w:gridCol w:w="811"/>
        <w:gridCol w:w="948"/>
      </w:tblGrid>
      <w:tr w14:paraId="6C16D93C">
        <w:tc>
          <w:tcPr>
            <w:tcW w:w="1355" w:type="pct"/>
            <w:gridSpan w:val="2"/>
            <w:vMerge w:val="restart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center"/>
          </w:tcPr>
          <w:p w14:paraId="3E526B07">
            <w:pPr>
              <w:jc w:val="center"/>
              <w:rPr>
                <w:rFonts w:hint="default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Treat</w:t>
            </w:r>
          </w:p>
        </w:tc>
        <w:tc>
          <w:tcPr>
            <w:tcW w:w="1631" w:type="pct"/>
            <w:gridSpan w:val="2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7E80DAB0">
            <w:pPr>
              <w:jc w:val="center"/>
              <w:rPr>
                <w:rFonts w:hint="default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Post</w:t>
            </w:r>
            <w:bookmarkStart w:id="0" w:name="_GoBack"/>
            <w:bookmarkEnd w:id="0"/>
          </w:p>
        </w:tc>
        <w:tc>
          <w:tcPr>
            <w:tcW w:w="980" w:type="pct"/>
            <w:gridSpan w:val="2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342E1097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McNemar Test</w:t>
            </w:r>
          </w:p>
        </w:tc>
        <w:tc>
          <w:tcPr>
            <w:tcW w:w="1032" w:type="pct"/>
            <w:gridSpan w:val="2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777CEB78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Kappa</w:t>
            </w:r>
          </w:p>
        </w:tc>
      </w:tr>
      <w:tr w14:paraId="2EBC7681">
        <w:tc>
          <w:tcPr>
            <w:tcW w:w="1355" w:type="pct"/>
            <w:gridSpan w:val="2"/>
            <w:vMerge w:val="continue"/>
            <w:tcBorders>
              <w:top w:val="single" w:color="000000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40DC2247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49" w:type="pct"/>
            <w:tcBorders>
              <w:top w:val="single" w:color="000000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75F5FEC2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Positive</w:t>
            </w:r>
          </w:p>
        </w:tc>
        <w:tc>
          <w:tcPr>
            <w:tcW w:w="782" w:type="pct"/>
            <w:tcBorders>
              <w:top w:val="single" w:color="000000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0D740E31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Negative</w:t>
            </w:r>
          </w:p>
        </w:tc>
        <w:tc>
          <w:tcPr>
            <w:tcW w:w="450" w:type="pct"/>
            <w:tcBorders>
              <w:top w:val="single" w:color="000000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24961EBF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m:oMathPara>
              <m:oMath>
                <m:sSup>
                  <m:sSupPr>
                    <m:ctrlPr>
                      <w:rPr>
                        <w:rFonts w:hint="eastAsia" w:ascii="DejaVu Math TeX Gyre" w:hAnsi="DejaVu Math TeX Gyre" w:eastAsiaTheme="minorEastAsia" w:cstheme="minorEastAsia"/>
                        <w:b w:val="0"/>
                        <w:i/>
                        <w:color w:val="000000"/>
                        <w:sz w:val="21"/>
                        <w:szCs w:val="21"/>
                        <w:vertAlign w:val="baseline"/>
                        <w:lang w:val="en-US"/>
                      </w:rPr>
                    </m:ctrlPr>
                  </m:sSupPr>
                  <m:e>
                    <m:r>
                      <m:rPr/>
                      <w:rPr>
                        <w:rFonts w:hint="eastAsia" w:ascii="DejaVu Math TeX Gyre" w:hAnsi="DejaVu Math TeX Gyre" w:eastAsiaTheme="minorEastAsia" w:cstheme="minorEastAsia"/>
                        <w:color w:val="000000"/>
                        <w:sz w:val="21"/>
                        <w:szCs w:val="21"/>
                        <w:vertAlign w:val="baseline"/>
                        <w:lang w:val="en-US"/>
                      </w:rPr>
                      <m:t>χ</m:t>
                    </m:r>
                    <m:ctrlPr>
                      <w:rPr>
                        <w:rFonts w:hint="eastAsia" w:ascii="DejaVu Math TeX Gyre" w:hAnsi="DejaVu Math TeX Gyre" w:eastAsiaTheme="minorEastAsia" w:cstheme="minorEastAsia"/>
                        <w:b w:val="0"/>
                        <w:i/>
                        <w:color w:val="000000"/>
                        <w:sz w:val="21"/>
                        <w:szCs w:val="21"/>
                        <w:vertAlign w:val="baseline"/>
                        <w:lang w:val="en-US"/>
                      </w:rPr>
                    </m:ctrlPr>
                  </m:e>
                  <m:sup>
                    <m:r>
                      <m:rPr/>
                      <w:rPr>
                        <w:rFonts w:hint="eastAsia" w:ascii="DejaVu Math TeX Gyre" w:hAnsi="DejaVu Math TeX Gyre" w:eastAsiaTheme="minorEastAsia" w:cstheme="minorEastAsia"/>
                        <w:color w:val="000000"/>
                        <w:sz w:val="21"/>
                        <w:szCs w:val="21"/>
                        <w:vertAlign w:val="baseline"/>
                        <w:lang w:val="en-US"/>
                      </w:rPr>
                      <m:t>2</m:t>
                    </m:r>
                    <m:ctrlPr>
                      <w:rPr>
                        <w:rFonts w:hint="eastAsia" w:ascii="DejaVu Math TeX Gyre" w:hAnsi="DejaVu Math TeX Gyre" w:eastAsiaTheme="minorEastAsia" w:cstheme="minorEastAsia"/>
                        <w:b w:val="0"/>
                        <w:i/>
                        <w:color w:val="000000"/>
                        <w:sz w:val="21"/>
                        <w:szCs w:val="21"/>
                        <w:vertAlign w:val="baseline"/>
                        <w:lang w:val="en-US"/>
                      </w:rPr>
                    </m:ctrlPr>
                  </m:sup>
                </m:sSup>
              </m:oMath>
            </m:oMathPara>
          </w:p>
        </w:tc>
        <w:tc>
          <w:tcPr>
            <w:tcW w:w="530" w:type="pct"/>
            <w:tcBorders>
              <w:top w:val="single" w:color="000000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70EB556B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p</w:t>
            </w:r>
          </w:p>
        </w:tc>
        <w:tc>
          <w:tcPr>
            <w:tcW w:w="476" w:type="pct"/>
            <w:tcBorders>
              <w:top w:val="single" w:color="000000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5BE18C7B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l-GR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l-GR" w:eastAsia="zh-CN"/>
              </w:rPr>
              <w:t>κ</w:t>
            </w:r>
          </w:p>
        </w:tc>
        <w:tc>
          <w:tcPr>
            <w:tcW w:w="556" w:type="pct"/>
            <w:tcBorders>
              <w:top w:val="single" w:color="000000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63B77F6D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p</w:t>
            </w:r>
          </w:p>
        </w:tc>
      </w:tr>
      <w:tr w14:paraId="6D341694">
        <w:tc>
          <w:tcPr>
            <w:tcW w:w="708" w:type="pct"/>
            <w:vMerge w:val="restar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4795265">
            <w:pPr>
              <w:jc w:val="center"/>
              <w:rPr>
                <w:rFonts w:hint="default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Pre</w:t>
            </w:r>
          </w:p>
        </w:tc>
        <w:tc>
          <w:tcPr>
            <w:tcW w:w="646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3AD41C5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  <w:t>Positive</w:t>
            </w:r>
          </w:p>
        </w:tc>
        <w:tc>
          <w:tcPr>
            <w:tcW w:w="849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3A5D452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113(97.4%)</w:t>
            </w:r>
          </w:p>
        </w:tc>
        <w:tc>
          <w:tcPr>
            <w:tcW w:w="782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DB83CDF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3</w:t>
            </w:r>
            <w:r>
              <w:rPr>
                <w:rFonts w:hint="default" w:asciiTheme="minorEastAsia" w:hAnsiTheme="minorEastAsia" w:cstheme="minorEastAsia"/>
                <w:b w:val="0"/>
                <w:color w:val="000000"/>
                <w:sz w:val="21"/>
                <w:szCs w:val="21"/>
                <w:vertAlign w:val="superscript"/>
                <w:lang w:val="en-US" w:eastAsia="zh-CN"/>
              </w:rPr>
              <w:t>b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(2.6%)</w:t>
            </w:r>
          </w:p>
        </w:tc>
        <w:tc>
          <w:tcPr>
            <w:tcW w:w="450" w:type="pct"/>
            <w:vMerge w:val="restar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FDE91B0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-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superscript"/>
                <w:lang w:val="en-US" w:eastAsia="zh-CN"/>
              </w:rPr>
              <w:t>1</w:t>
            </w:r>
          </w:p>
        </w:tc>
        <w:tc>
          <w:tcPr>
            <w:tcW w:w="530" w:type="pct"/>
            <w:vMerge w:val="restar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28A4A8D">
            <w:pPr>
              <w:jc w:val="center"/>
              <w:rPr>
                <w:rFonts w:hint="default" w:asciiTheme="minorEastAsia" w:hAnsiTheme="minorEastAsia" w:eastAsiaTheme="minorEastAsia" w:cstheme="minorEastAsia"/>
                <w:b w:val="0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Theme="minorEastAsia" w:hAnsi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&gt; .999</w:t>
            </w:r>
          </w:p>
        </w:tc>
        <w:tc>
          <w:tcPr>
            <w:tcW w:w="476" w:type="pct"/>
            <w:vMerge w:val="restar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49A7B83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0.895</w:t>
            </w:r>
          </w:p>
        </w:tc>
        <w:tc>
          <w:tcPr>
            <w:tcW w:w="556" w:type="pct"/>
            <w:vMerge w:val="restar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CE6ECA0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&lt;</w:t>
            </w:r>
            <w:r>
              <w:rPr>
                <w:rFonts w:hint="default" w:asciiTheme="minorEastAsia" w:hAnsi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.001</w:t>
            </w:r>
          </w:p>
        </w:tc>
      </w:tr>
      <w:tr w14:paraId="42100CED">
        <w:tc>
          <w:tcPr>
            <w:tcW w:w="708" w:type="pct"/>
            <w:vMerge w:val="continue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62E2D570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46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659FF74C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  <w:t>Negative</w:t>
            </w:r>
          </w:p>
        </w:tc>
        <w:tc>
          <w:tcPr>
            <w:tcW w:w="849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6A1D7A88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4</w:t>
            </w:r>
            <w:r>
              <w:rPr>
                <w:rFonts w:hint="default" w:asciiTheme="minorEastAsia" w:hAnsiTheme="minorEastAsia" w:cstheme="minorEastAsia"/>
                <w:b w:val="0"/>
                <w:color w:val="000000"/>
                <w:sz w:val="21"/>
                <w:szCs w:val="21"/>
                <w:vertAlign w:val="superscript"/>
                <w:lang w:val="en-US" w:eastAsia="zh-CN"/>
              </w:rPr>
              <w:t>c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(8.5%)</w:t>
            </w:r>
          </w:p>
        </w:tc>
        <w:tc>
          <w:tcPr>
            <w:tcW w:w="782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29ED9A26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43(91.5%)</w:t>
            </w:r>
          </w:p>
        </w:tc>
        <w:tc>
          <w:tcPr>
            <w:tcW w:w="450" w:type="pct"/>
            <w:vMerge w:val="continue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55030E1D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530" w:type="pct"/>
            <w:vMerge w:val="continue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256988EF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76" w:type="pct"/>
            <w:vMerge w:val="continue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4B552545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556" w:type="pct"/>
            <w:vMerge w:val="continue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759415AD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 w14:paraId="4604A5C2">
      <w:p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Note:</w:t>
      </w:r>
      <w:r>
        <w:rPr>
          <w:rFonts w:hint="eastAsia" w:asciiTheme="minorEastAsia" w:hAnsiTheme="minorEastAsia" w:eastAsiaTheme="minorEastAsia" w:cstheme="minorEastAsia"/>
          <w:sz w:val="21"/>
          <w:szCs w:val="21"/>
          <w:vertAlign w:val="superscript"/>
          <w:lang w:val="en-US" w:eastAsia="zh-CN"/>
        </w:rPr>
        <w:t>1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:Binomial distribution used</w:t>
      </w:r>
      <w:r>
        <w:rPr>
          <w:rFonts w:hint="default" w:asciiTheme="minorEastAsia" w:hAnsiTheme="minorEastAsia" w:cstheme="minorEastAsia"/>
          <w:sz w:val="21"/>
          <w:szCs w:val="21"/>
          <w:lang w:val="en-US" w:eastAsia="zh-CN"/>
        </w:rPr>
        <w:t>(</w:t>
      </w:r>
      <w:r>
        <w:rPr>
          <w:rFonts w:hint="default" w:asciiTheme="minorEastAsia" w:hAnsiTheme="minorEastAsia" w:cstheme="minorEastAsia"/>
          <w:sz w:val="21"/>
          <w:szCs w:val="21"/>
          <w:vertAlign w:val="superscript"/>
          <w:lang w:val="en-US" w:eastAsia="zh-CN"/>
        </w:rPr>
        <w:t>b</w:t>
      </w:r>
      <w:r>
        <w:rPr>
          <w:rFonts w:hint="default" w:asciiTheme="minorEastAsia" w:hAnsiTheme="minorEastAsia" w:cstheme="minorEastAsia"/>
          <w:sz w:val="21"/>
          <w:szCs w:val="21"/>
          <w:lang w:val="en-US" w:eastAsia="zh-CN"/>
        </w:rPr>
        <w:t xml:space="preserve"> + </w:t>
      </w:r>
      <w:r>
        <w:rPr>
          <w:rFonts w:hint="default" w:asciiTheme="minorEastAsia" w:hAnsiTheme="minorEastAsia" w:cstheme="minorEastAsia"/>
          <w:sz w:val="21"/>
          <w:szCs w:val="21"/>
          <w:vertAlign w:val="superscript"/>
          <w:lang w:val="en-US" w:eastAsia="zh-CN"/>
        </w:rPr>
        <w:t>c</w:t>
      </w:r>
      <w:r>
        <w:rPr>
          <w:rFonts w:hint="default" w:asciiTheme="minorEastAsia" w:hAnsiTheme="minorEastAsia" w:cstheme="minorEastAsia"/>
          <w:sz w:val="21"/>
          <w:szCs w:val="21"/>
          <w:lang w:val="en-US" w:eastAsia="zh-CN"/>
        </w:rPr>
        <w:t xml:space="preserve"> &lt; 25)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.</w:t>
      </w:r>
    </w:p>
    <w:p w14:paraId="08C0D548">
      <w:p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3D933D41">
      <w:p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 w14:paraId="087C952C">
      <w:pPr>
        <w:jc w:val="center"/>
        <w:rPr>
          <w:rFonts w:hint="default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default" w:asciiTheme="minorEastAsia" w:hAnsiTheme="minorEastAsia" w:cstheme="minorEastAsia"/>
          <w:sz w:val="21"/>
          <w:szCs w:val="21"/>
          <w:lang w:val="en-US" w:eastAsia="zh-CN"/>
        </w:rPr>
        <w:t>Table2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color w:val="000000"/>
          <w:sz w:val="21"/>
          <w:szCs w:val="21"/>
          <w:vertAlign w:val="baseline"/>
          <w:lang w:val="en-US" w:eastAsia="zh-CN"/>
        </w:rPr>
        <w:t>Reality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 xml:space="preserve"> </w:t>
      </w:r>
      <w:r>
        <w:rPr>
          <w:rFonts w:hint="default" w:asciiTheme="minorEastAsia" w:hAnsiTheme="minorEastAsia" w:cstheme="minorEastAsia"/>
          <w:sz w:val="21"/>
          <w:szCs w:val="21"/>
          <w:lang w:val="en-US" w:eastAsia="zh-CN"/>
        </w:rPr>
        <w:t>*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color w:val="000000"/>
          <w:sz w:val="21"/>
          <w:szCs w:val="21"/>
          <w:vertAlign w:val="baseline"/>
          <w:lang w:val="en-US" w:eastAsia="zh-CN"/>
        </w:rPr>
        <w:t>Prediction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 xml:space="preserve"> Crosstabulation</w:t>
      </w:r>
      <w:r>
        <w:rPr>
          <w:rFonts w:hint="default" w:asciiTheme="minorEastAsia" w:hAnsiTheme="minorEastAsia" w:cstheme="minorEastAsia"/>
          <w:sz w:val="21"/>
          <w:szCs w:val="21"/>
          <w:lang w:val="en-US" w:eastAsia="zh-CN"/>
        </w:rPr>
        <w:t xml:space="preserve"> Analysis</w:t>
      </w:r>
    </w:p>
    <w:tbl>
      <w:tblPr>
        <w:tblStyle w:val="3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18"/>
        <w:gridCol w:w="956"/>
        <w:gridCol w:w="836"/>
        <w:gridCol w:w="913"/>
        <w:gridCol w:w="896"/>
        <w:gridCol w:w="950"/>
        <w:gridCol w:w="819"/>
        <w:gridCol w:w="913"/>
        <w:gridCol w:w="360"/>
        <w:gridCol w:w="1704"/>
        <w:gridCol w:w="1704"/>
        <w:gridCol w:w="360"/>
        <w:gridCol w:w="1126"/>
        <w:gridCol w:w="1313"/>
      </w:tblGrid>
      <w:tr w14:paraId="15F50319">
        <w:tc>
          <w:tcPr>
            <w:tcW w:w="802" w:type="pct"/>
            <w:gridSpan w:val="2"/>
            <w:vMerge w:val="restart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center"/>
          </w:tcPr>
          <w:p w14:paraId="6DF31DB3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Evaluation</w:t>
            </w:r>
          </w:p>
        </w:tc>
        <w:tc>
          <w:tcPr>
            <w:tcW w:w="1879" w:type="pct"/>
            <w:gridSpan w:val="6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45E05A07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Prediction</w:t>
            </w:r>
          </w:p>
        </w:tc>
        <w:tc>
          <w:tcPr>
            <w:tcW w:w="127" w:type="pct"/>
            <w:vMerge w:val="restart"/>
            <w:tcBorders>
              <w:top w:val="single" w:color="000000" w:sz="12" w:space="0"/>
              <w:left w:val="nil"/>
              <w:right w:val="nil"/>
            </w:tcBorders>
            <w:shd w:val="clear" w:color="auto" w:fill="FFFFFF"/>
            <w:vAlign w:val="center"/>
          </w:tcPr>
          <w:p w14:paraId="7F8A7398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202" w:type="pct"/>
            <w:gridSpan w:val="2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50B9412D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McNemar Bowker Test</w:t>
            </w:r>
          </w:p>
        </w:tc>
        <w:tc>
          <w:tcPr>
            <w:tcW w:w="127" w:type="pct"/>
            <w:vMerge w:val="restart"/>
            <w:tcBorders>
              <w:top w:val="single" w:color="000000" w:sz="12" w:space="0"/>
              <w:left w:val="nil"/>
              <w:right w:val="nil"/>
            </w:tcBorders>
            <w:shd w:val="clear" w:color="auto" w:fill="FFFFFF"/>
            <w:vAlign w:val="center"/>
          </w:tcPr>
          <w:p w14:paraId="6C811DAA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60" w:type="pct"/>
            <w:gridSpan w:val="2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1CE246B6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Kappa</w:t>
            </w:r>
          </w:p>
        </w:tc>
      </w:tr>
      <w:tr w14:paraId="0C3A2E72">
        <w:tc>
          <w:tcPr>
            <w:tcW w:w="802" w:type="pct"/>
            <w:gridSpan w:val="2"/>
            <w:vMerge w:val="continue"/>
            <w:tcBorders>
              <w:top w:val="single" w:color="000000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5DFFC046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95" w:type="pct"/>
            <w:tcBorders>
              <w:top w:val="single" w:color="000000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3E381070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Fir.</w:t>
            </w:r>
          </w:p>
        </w:tc>
        <w:tc>
          <w:tcPr>
            <w:tcW w:w="322" w:type="pct"/>
            <w:tcBorders>
              <w:top w:val="single" w:color="000000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645213C2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Sec.</w:t>
            </w:r>
          </w:p>
        </w:tc>
        <w:tc>
          <w:tcPr>
            <w:tcW w:w="316" w:type="pct"/>
            <w:tcBorders>
              <w:top w:val="single" w:color="000000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3DF82EFC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Thi.</w:t>
            </w:r>
          </w:p>
        </w:tc>
        <w:tc>
          <w:tcPr>
            <w:tcW w:w="335" w:type="pct"/>
            <w:tcBorders>
              <w:top w:val="single" w:color="000000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2771CDEC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Fou.</w:t>
            </w:r>
          </w:p>
        </w:tc>
        <w:tc>
          <w:tcPr>
            <w:tcW w:w="289" w:type="pct"/>
            <w:tcBorders>
              <w:top w:val="single" w:color="000000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1295DE5D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Fif.</w:t>
            </w:r>
          </w:p>
        </w:tc>
        <w:tc>
          <w:tcPr>
            <w:tcW w:w="320" w:type="pct"/>
            <w:tcBorders>
              <w:left w:val="nil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7D155B10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sum</w:t>
            </w:r>
          </w:p>
        </w:tc>
        <w:tc>
          <w:tcPr>
            <w:tcW w:w="127" w:type="pct"/>
            <w:vMerge w:val="continue"/>
            <w:tcBorders>
              <w:left w:val="nil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1153B8FC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01" w:type="pct"/>
            <w:tcBorders>
              <w:top w:val="single" w:color="000000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00DCE481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m:oMathPara>
              <m:oMath>
                <m:sSup>
                  <m:sSupPr>
                    <m:ctrlPr>
                      <w:rPr>
                        <w:rFonts w:hint="eastAsia" w:ascii="DejaVu Math TeX Gyre" w:hAnsi="DejaVu Math TeX Gyre" w:eastAsiaTheme="minorEastAsia" w:cstheme="minorEastAsia"/>
                        <w:b w:val="0"/>
                        <w:i/>
                        <w:color w:val="000000"/>
                        <w:sz w:val="21"/>
                        <w:szCs w:val="21"/>
                        <w:vertAlign w:val="baseline"/>
                        <w:lang w:val="en-US"/>
                      </w:rPr>
                    </m:ctrlPr>
                  </m:sSupPr>
                  <m:e>
                    <m:r>
                      <m:rPr/>
                      <w:rPr>
                        <w:rFonts w:hint="eastAsia" w:ascii="DejaVu Math TeX Gyre" w:hAnsi="DejaVu Math TeX Gyre" w:eastAsiaTheme="minorEastAsia" w:cstheme="minorEastAsia"/>
                        <w:color w:val="000000"/>
                        <w:sz w:val="21"/>
                        <w:szCs w:val="21"/>
                        <w:vertAlign w:val="baseline"/>
                        <w:lang w:val="en-US"/>
                      </w:rPr>
                      <m:t>χ</m:t>
                    </m:r>
                    <m:ctrlPr>
                      <w:rPr>
                        <w:rFonts w:hint="eastAsia" w:ascii="DejaVu Math TeX Gyre" w:hAnsi="DejaVu Math TeX Gyre" w:eastAsiaTheme="minorEastAsia" w:cstheme="minorEastAsia"/>
                        <w:b w:val="0"/>
                        <w:i/>
                        <w:color w:val="000000"/>
                        <w:sz w:val="21"/>
                        <w:szCs w:val="21"/>
                        <w:vertAlign w:val="baseline"/>
                        <w:lang w:val="en-US"/>
                      </w:rPr>
                    </m:ctrlPr>
                  </m:e>
                  <m:sup>
                    <m:r>
                      <m:rPr/>
                      <w:rPr>
                        <w:rFonts w:hint="eastAsia" w:ascii="DejaVu Math TeX Gyre" w:hAnsi="DejaVu Math TeX Gyre" w:eastAsiaTheme="minorEastAsia" w:cstheme="minorEastAsia"/>
                        <w:color w:val="000000"/>
                        <w:sz w:val="21"/>
                        <w:szCs w:val="21"/>
                        <w:vertAlign w:val="baseline"/>
                        <w:lang w:val="en-US"/>
                      </w:rPr>
                      <m:t>2</m:t>
                    </m:r>
                    <m:ctrlPr>
                      <w:rPr>
                        <w:rFonts w:hint="eastAsia" w:ascii="DejaVu Math TeX Gyre" w:hAnsi="DejaVu Math TeX Gyre" w:eastAsiaTheme="minorEastAsia" w:cstheme="minorEastAsia"/>
                        <w:b w:val="0"/>
                        <w:i/>
                        <w:color w:val="000000"/>
                        <w:sz w:val="21"/>
                        <w:szCs w:val="21"/>
                        <w:vertAlign w:val="baseline"/>
                        <w:lang w:val="en-US"/>
                      </w:rPr>
                    </m:ctrlPr>
                  </m:sup>
                </m:sSup>
              </m:oMath>
            </m:oMathPara>
          </w:p>
        </w:tc>
        <w:tc>
          <w:tcPr>
            <w:tcW w:w="600" w:type="pct"/>
            <w:tcBorders>
              <w:top w:val="single" w:color="000000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0AED4F04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p</w:t>
            </w:r>
          </w:p>
        </w:tc>
        <w:tc>
          <w:tcPr>
            <w:tcW w:w="127" w:type="pct"/>
            <w:vMerge w:val="continue"/>
            <w:tcBorders>
              <w:left w:val="nil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2DC4FE54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397" w:type="pct"/>
            <w:tcBorders>
              <w:top w:val="single" w:color="000000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07E811B3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l-GR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l-GR" w:eastAsia="zh-CN"/>
              </w:rPr>
              <w:t>κ</w:t>
            </w:r>
          </w:p>
        </w:tc>
        <w:tc>
          <w:tcPr>
            <w:tcW w:w="463" w:type="pct"/>
            <w:tcBorders>
              <w:top w:val="single" w:color="000000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6FF2AA2E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p</w:t>
            </w:r>
          </w:p>
        </w:tc>
      </w:tr>
      <w:tr w14:paraId="7B8BFD37">
        <w:tc>
          <w:tcPr>
            <w:tcW w:w="465" w:type="pct"/>
            <w:vMerge w:val="restar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7952565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Reality</w:t>
            </w:r>
          </w:p>
        </w:tc>
        <w:tc>
          <w:tcPr>
            <w:tcW w:w="336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8939C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Fir.</w:t>
            </w:r>
          </w:p>
        </w:tc>
        <w:tc>
          <w:tcPr>
            <w:tcW w:w="295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6A1A24FE">
            <w:pPr>
              <w:keepNext w:val="0"/>
              <w:keepLines w:val="0"/>
              <w:widowControl/>
              <w:suppressLineNumbers w:val="0"/>
              <w:jc w:val="right"/>
              <w:textAlignment w:val="top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</w:t>
            </w:r>
          </w:p>
        </w:tc>
        <w:tc>
          <w:tcPr>
            <w:tcW w:w="322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755D8C3F">
            <w:pPr>
              <w:keepNext w:val="0"/>
              <w:keepLines w:val="0"/>
              <w:widowControl/>
              <w:suppressLineNumbers w:val="0"/>
              <w:jc w:val="right"/>
              <w:textAlignment w:val="top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316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65D13A30">
            <w:pPr>
              <w:keepNext w:val="0"/>
              <w:keepLines w:val="0"/>
              <w:widowControl/>
              <w:suppressLineNumbers w:val="0"/>
              <w:jc w:val="right"/>
              <w:textAlignment w:val="top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335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033F2D69">
            <w:pPr>
              <w:keepNext w:val="0"/>
              <w:keepLines w:val="0"/>
              <w:widowControl/>
              <w:suppressLineNumbers w:val="0"/>
              <w:jc w:val="right"/>
              <w:textAlignment w:val="top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289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5B6E1D35">
            <w:pPr>
              <w:keepNext w:val="0"/>
              <w:keepLines w:val="0"/>
              <w:widowControl/>
              <w:suppressLineNumbers w:val="0"/>
              <w:jc w:val="right"/>
              <w:textAlignment w:val="top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320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0CF80A8F">
            <w:pPr>
              <w:keepNext w:val="0"/>
              <w:keepLines w:val="0"/>
              <w:widowControl/>
              <w:suppressLineNumbers w:val="0"/>
              <w:jc w:val="righ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</w:t>
            </w:r>
          </w:p>
        </w:tc>
        <w:tc>
          <w:tcPr>
            <w:tcW w:w="127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911A6FD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601" w:type="pct"/>
            <w:vMerge w:val="restar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E379DB2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1.333</w:t>
            </w:r>
          </w:p>
        </w:tc>
        <w:tc>
          <w:tcPr>
            <w:tcW w:w="600" w:type="pct"/>
            <w:vMerge w:val="restar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7FED4F8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  <w:t>.721</w:t>
            </w:r>
          </w:p>
        </w:tc>
        <w:tc>
          <w:tcPr>
            <w:tcW w:w="127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B201FC3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397" w:type="pct"/>
            <w:vMerge w:val="restar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7528B2D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0.788</w:t>
            </w:r>
          </w:p>
        </w:tc>
        <w:tc>
          <w:tcPr>
            <w:tcW w:w="463" w:type="pct"/>
            <w:vMerge w:val="restar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E15A608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&lt;</w:t>
            </w:r>
            <w:r>
              <w:rPr>
                <w:rFonts w:hint="default" w:asciiTheme="minorEastAsia" w:hAnsi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.001</w:t>
            </w:r>
          </w:p>
        </w:tc>
      </w:tr>
      <w:tr w14:paraId="3BAA9B30">
        <w:tc>
          <w:tcPr>
            <w:tcW w:w="465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4EB71CC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33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0CE96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Sec.</w:t>
            </w: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0317AA59">
            <w:pPr>
              <w:keepNext w:val="0"/>
              <w:keepLines w:val="0"/>
              <w:widowControl/>
              <w:suppressLineNumbers w:val="0"/>
              <w:jc w:val="right"/>
              <w:textAlignment w:val="top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32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1BB8173A">
            <w:pPr>
              <w:keepNext w:val="0"/>
              <w:keepLines w:val="0"/>
              <w:widowControl/>
              <w:suppressLineNumbers w:val="0"/>
              <w:jc w:val="right"/>
              <w:textAlignment w:val="top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</w:t>
            </w:r>
          </w:p>
        </w:tc>
        <w:tc>
          <w:tcPr>
            <w:tcW w:w="31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456830C8">
            <w:pPr>
              <w:keepNext w:val="0"/>
              <w:keepLines w:val="0"/>
              <w:widowControl/>
              <w:suppressLineNumbers w:val="0"/>
              <w:jc w:val="right"/>
              <w:textAlignment w:val="top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76F01001">
            <w:pPr>
              <w:keepNext w:val="0"/>
              <w:keepLines w:val="0"/>
              <w:widowControl/>
              <w:suppressLineNumbers w:val="0"/>
              <w:jc w:val="right"/>
              <w:textAlignment w:val="top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28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4546FB94">
            <w:pPr>
              <w:keepNext w:val="0"/>
              <w:keepLines w:val="0"/>
              <w:widowControl/>
              <w:suppressLineNumbers w:val="0"/>
              <w:jc w:val="right"/>
              <w:textAlignment w:val="top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32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0331BBF5">
            <w:pPr>
              <w:keepNext w:val="0"/>
              <w:keepLines w:val="0"/>
              <w:widowControl/>
              <w:suppressLineNumbers w:val="0"/>
              <w:jc w:val="righ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</w:t>
            </w:r>
          </w:p>
        </w:tc>
        <w:tc>
          <w:tcPr>
            <w:tcW w:w="12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8ADD4FF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601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731FE28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00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070FD9E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2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FB0DD67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397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D968BC3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63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D1916C7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56B00586">
        <w:tc>
          <w:tcPr>
            <w:tcW w:w="465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594244E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33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F468B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Thi.</w:t>
            </w: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42E416E1">
            <w:pPr>
              <w:keepNext w:val="0"/>
              <w:keepLines w:val="0"/>
              <w:widowControl/>
              <w:suppressLineNumbers w:val="0"/>
              <w:jc w:val="right"/>
              <w:textAlignment w:val="top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32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245939CA">
            <w:pPr>
              <w:keepNext w:val="0"/>
              <w:keepLines w:val="0"/>
              <w:widowControl/>
              <w:suppressLineNumbers w:val="0"/>
              <w:jc w:val="right"/>
              <w:textAlignment w:val="top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31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6719AEE6">
            <w:pPr>
              <w:keepNext w:val="0"/>
              <w:keepLines w:val="0"/>
              <w:widowControl/>
              <w:suppressLineNumbers w:val="0"/>
              <w:jc w:val="right"/>
              <w:textAlignment w:val="top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18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43950E91">
            <w:pPr>
              <w:keepNext w:val="0"/>
              <w:keepLines w:val="0"/>
              <w:widowControl/>
              <w:suppressLineNumbers w:val="0"/>
              <w:jc w:val="right"/>
              <w:textAlignment w:val="top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</w:t>
            </w:r>
          </w:p>
        </w:tc>
        <w:tc>
          <w:tcPr>
            <w:tcW w:w="28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1299226A">
            <w:pPr>
              <w:keepNext w:val="0"/>
              <w:keepLines w:val="0"/>
              <w:widowControl/>
              <w:suppressLineNumbers w:val="0"/>
              <w:jc w:val="right"/>
              <w:textAlignment w:val="top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32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7CB7F018">
            <w:pPr>
              <w:keepNext w:val="0"/>
              <w:keepLines w:val="0"/>
              <w:widowControl/>
              <w:suppressLineNumbers w:val="0"/>
              <w:jc w:val="righ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21</w:t>
            </w:r>
          </w:p>
        </w:tc>
        <w:tc>
          <w:tcPr>
            <w:tcW w:w="12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4CE6622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601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995F9F8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00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5064ED7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2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E02FDDF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397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65EBE60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63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999DAE8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768723E1">
        <w:tc>
          <w:tcPr>
            <w:tcW w:w="465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9F9D802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33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8062B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Fou.</w:t>
            </w: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2881512B">
            <w:pPr>
              <w:keepNext w:val="0"/>
              <w:keepLines w:val="0"/>
              <w:widowControl/>
              <w:suppressLineNumbers w:val="0"/>
              <w:jc w:val="right"/>
              <w:textAlignment w:val="top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32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40D278BB">
            <w:pPr>
              <w:keepNext w:val="0"/>
              <w:keepLines w:val="0"/>
              <w:widowControl/>
              <w:suppressLineNumbers w:val="0"/>
              <w:jc w:val="right"/>
              <w:textAlignment w:val="top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31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308A523C">
            <w:pPr>
              <w:keepNext w:val="0"/>
              <w:keepLines w:val="0"/>
              <w:widowControl/>
              <w:suppressLineNumbers w:val="0"/>
              <w:jc w:val="right"/>
              <w:textAlignment w:val="top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2013D2B3">
            <w:pPr>
              <w:keepNext w:val="0"/>
              <w:keepLines w:val="0"/>
              <w:widowControl/>
              <w:suppressLineNumbers w:val="0"/>
              <w:jc w:val="right"/>
              <w:textAlignment w:val="top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</w:t>
            </w:r>
          </w:p>
        </w:tc>
        <w:tc>
          <w:tcPr>
            <w:tcW w:w="28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34B02D31">
            <w:pPr>
              <w:keepNext w:val="0"/>
              <w:keepLines w:val="0"/>
              <w:widowControl/>
              <w:suppressLineNumbers w:val="0"/>
              <w:jc w:val="right"/>
              <w:textAlignment w:val="top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32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422A5B7B">
            <w:pPr>
              <w:keepNext w:val="0"/>
              <w:keepLines w:val="0"/>
              <w:widowControl/>
              <w:suppressLineNumbers w:val="0"/>
              <w:jc w:val="righ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11</w:t>
            </w:r>
          </w:p>
        </w:tc>
        <w:tc>
          <w:tcPr>
            <w:tcW w:w="12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6BDD8E8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601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315C24E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00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0304DB3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2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E8CE579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397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0785D1B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63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986EFBE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352A03E7">
        <w:tc>
          <w:tcPr>
            <w:tcW w:w="465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326C4EB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33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7AFAE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Fif.</w:t>
            </w: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3B669241">
            <w:pPr>
              <w:keepNext w:val="0"/>
              <w:keepLines w:val="0"/>
              <w:widowControl/>
              <w:suppressLineNumbers w:val="0"/>
              <w:jc w:val="right"/>
              <w:textAlignment w:val="top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32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0F2A15C6">
            <w:pPr>
              <w:keepNext w:val="0"/>
              <w:keepLines w:val="0"/>
              <w:widowControl/>
              <w:suppressLineNumbers w:val="0"/>
              <w:jc w:val="right"/>
              <w:textAlignment w:val="top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31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26FE71AD">
            <w:pPr>
              <w:keepNext w:val="0"/>
              <w:keepLines w:val="0"/>
              <w:widowControl/>
              <w:suppressLineNumbers w:val="0"/>
              <w:jc w:val="right"/>
              <w:textAlignment w:val="top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7A472270">
            <w:pPr>
              <w:keepNext w:val="0"/>
              <w:keepLines w:val="0"/>
              <w:widowControl/>
              <w:suppressLineNumbers w:val="0"/>
              <w:jc w:val="right"/>
              <w:textAlignment w:val="top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28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57882561">
            <w:pPr>
              <w:keepNext w:val="0"/>
              <w:keepLines w:val="0"/>
              <w:widowControl/>
              <w:suppressLineNumbers w:val="0"/>
              <w:jc w:val="right"/>
              <w:textAlignment w:val="top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</w:t>
            </w:r>
          </w:p>
        </w:tc>
        <w:tc>
          <w:tcPr>
            <w:tcW w:w="32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140ECDCA">
            <w:pPr>
              <w:keepNext w:val="0"/>
              <w:keepLines w:val="0"/>
              <w:widowControl/>
              <w:suppressLineNumbers w:val="0"/>
              <w:jc w:val="righ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</w:t>
            </w:r>
          </w:p>
        </w:tc>
        <w:tc>
          <w:tcPr>
            <w:tcW w:w="12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C0775CE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601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ADE407F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00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90289C3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2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83E2A99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397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0E8D451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63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4D9FE62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12969B6D">
        <w:tc>
          <w:tcPr>
            <w:tcW w:w="465" w:type="pct"/>
            <w:vMerge w:val="continue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193E0428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336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60F01A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  <w:t>sum</w:t>
            </w:r>
          </w:p>
        </w:tc>
        <w:tc>
          <w:tcPr>
            <w:tcW w:w="295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top"/>
          </w:tcPr>
          <w:p w14:paraId="75C7B1A4">
            <w:pPr>
              <w:keepNext w:val="0"/>
              <w:keepLines w:val="0"/>
              <w:widowControl/>
              <w:suppressLineNumbers w:val="0"/>
              <w:jc w:val="right"/>
              <w:textAlignment w:val="top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</w:t>
            </w:r>
          </w:p>
        </w:tc>
        <w:tc>
          <w:tcPr>
            <w:tcW w:w="322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top"/>
          </w:tcPr>
          <w:p w14:paraId="10687A66">
            <w:pPr>
              <w:keepNext w:val="0"/>
              <w:keepLines w:val="0"/>
              <w:widowControl/>
              <w:suppressLineNumbers w:val="0"/>
              <w:jc w:val="right"/>
              <w:textAlignment w:val="top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</w:t>
            </w:r>
          </w:p>
        </w:tc>
        <w:tc>
          <w:tcPr>
            <w:tcW w:w="316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top"/>
          </w:tcPr>
          <w:p w14:paraId="7E6D431F">
            <w:pPr>
              <w:keepNext w:val="0"/>
              <w:keepLines w:val="0"/>
              <w:widowControl/>
              <w:suppressLineNumbers w:val="0"/>
              <w:jc w:val="right"/>
              <w:textAlignment w:val="top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20</w:t>
            </w:r>
          </w:p>
        </w:tc>
        <w:tc>
          <w:tcPr>
            <w:tcW w:w="335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top"/>
          </w:tcPr>
          <w:p w14:paraId="26DC77A4">
            <w:pPr>
              <w:keepNext w:val="0"/>
              <w:keepLines w:val="0"/>
              <w:widowControl/>
              <w:suppressLineNumbers w:val="0"/>
              <w:jc w:val="right"/>
              <w:textAlignment w:val="top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11</w:t>
            </w:r>
          </w:p>
        </w:tc>
        <w:tc>
          <w:tcPr>
            <w:tcW w:w="289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top"/>
          </w:tcPr>
          <w:p w14:paraId="2E70F208">
            <w:pPr>
              <w:keepNext w:val="0"/>
              <w:keepLines w:val="0"/>
              <w:widowControl/>
              <w:suppressLineNumbers w:val="0"/>
              <w:jc w:val="right"/>
              <w:textAlignment w:val="top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</w:t>
            </w:r>
          </w:p>
        </w:tc>
        <w:tc>
          <w:tcPr>
            <w:tcW w:w="320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top"/>
          </w:tcPr>
          <w:p w14:paraId="3D518FF0">
            <w:pPr>
              <w:keepNext w:val="0"/>
              <w:keepLines w:val="0"/>
              <w:widowControl/>
              <w:suppressLineNumbers w:val="0"/>
              <w:jc w:val="right"/>
              <w:textAlignment w:val="top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42</w:t>
            </w:r>
          </w:p>
        </w:tc>
        <w:tc>
          <w:tcPr>
            <w:tcW w:w="127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4F9F80E0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601" w:type="pct"/>
            <w:vMerge w:val="continue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128412E1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00" w:type="pct"/>
            <w:vMerge w:val="continue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11E25D48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27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7F57B37F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397" w:type="pct"/>
            <w:vMerge w:val="continue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3F390841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63" w:type="pct"/>
            <w:vMerge w:val="continue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1BEE8320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 w14:paraId="51804344">
      <w:p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 w14:paraId="494637CE"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FF764C"/>
    <w:rsid w:val="5E9707ED"/>
    <w:rsid w:val="6CFDE3CE"/>
    <w:rsid w:val="6F6E1067"/>
    <w:rsid w:val="775F80C1"/>
    <w:rsid w:val="7F703C71"/>
    <w:rsid w:val="7FFF764C"/>
    <w:rsid w:val="A5FDDD3C"/>
    <w:rsid w:val="BF97F297"/>
    <w:rsid w:val="DF5E22F4"/>
    <w:rsid w:val="E8B99F0B"/>
    <w:rsid w:val="EBF606FC"/>
    <w:rsid w:val="F6F72124"/>
    <w:rsid w:val="F7EF2A2F"/>
    <w:rsid w:val="FA9ED3A5"/>
    <w:rsid w:val="FB79EF61"/>
    <w:rsid w:val="FFEDEB89"/>
    <w:rsid w:val="FFF690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93</Words>
  <Characters>388</Characters>
  <Lines>0</Lines>
  <Paragraphs>0</Paragraphs>
  <TotalTime>6</TotalTime>
  <ScaleCrop>false</ScaleCrop>
  <LinksUpToDate>false</LinksUpToDate>
  <CharactersWithSpaces>423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2025-01-01T03:38:00Z</dcterms:created>
  <dc:creator>王宁</dc:creator>
  <cp:lastModifiedBy>王宁</cp:lastModifiedBy>
  <dcterms:modified xsi:type="dcterms:W3CDTF">2026-03-23T18:30:04Z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6CFE989D114BF1147F83736715E32AA2_43</vt:lpwstr>
  </property>
</Properties>
</file>