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D99CA1">
      <w:pPr>
        <w:jc w:val="center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表1 实验组与对照组50米成绩实验前、后对比分析表</w:t>
      </w:r>
    </w:p>
    <w:tbl>
      <w:tblPr>
        <w:tblStyle w:val="3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20"/>
        <w:gridCol w:w="1420"/>
        <w:gridCol w:w="1420"/>
        <w:gridCol w:w="1420"/>
        <w:gridCol w:w="1421"/>
        <w:gridCol w:w="1421"/>
      </w:tblGrid>
      <w:tr w14:paraId="0361DA9F">
        <w:tc>
          <w:tcPr>
            <w:tcW w:w="833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  <w:vAlign w:val="center"/>
          </w:tcPr>
          <w:p w14:paraId="685A759A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  <w:t>Group</w:t>
            </w:r>
          </w:p>
        </w:tc>
        <w:tc>
          <w:tcPr>
            <w:tcW w:w="833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483EAA91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  <w:t>Pre</w:t>
            </w:r>
          </w:p>
        </w:tc>
        <w:tc>
          <w:tcPr>
            <w:tcW w:w="833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2D57F73C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  <w:t>Post</w:t>
            </w:r>
          </w:p>
        </w:tc>
        <w:tc>
          <w:tcPr>
            <w:tcW w:w="833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2779F6F2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vertAlign w:val="baseline"/>
                <w:lang w:val="en-US" w:eastAsia="zh-CN"/>
              </w:rPr>
              <w:t>t</w:t>
            </w:r>
          </w:p>
        </w:tc>
        <w:tc>
          <w:tcPr>
            <w:tcW w:w="833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44DDFD94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vertAlign w:val="baseline"/>
                <w:lang w:val="en-US" w:eastAsia="zh-CN"/>
              </w:rPr>
              <w:t>p</w:t>
            </w:r>
          </w:p>
        </w:tc>
        <w:tc>
          <w:tcPr>
            <w:tcW w:w="833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5991E25C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vertAlign w:val="baseline"/>
                <w:lang w:val="en-US" w:eastAsia="zh-CN"/>
              </w:rPr>
              <w:t>d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vertAlign w:val="superscript"/>
                <w:lang w:val="en-US" w:eastAsia="zh-CN"/>
              </w:rPr>
              <w:t>1</w:t>
            </w:r>
          </w:p>
        </w:tc>
      </w:tr>
      <w:tr w14:paraId="6A690278">
        <w:tc>
          <w:tcPr>
            <w:tcW w:w="833" w:type="pct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11392FA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  <w:t>Treatment</w:t>
            </w:r>
          </w:p>
        </w:tc>
        <w:tc>
          <w:tcPr>
            <w:tcW w:w="833" w:type="pct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137D79B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  <w:t>8.70</w:t>
            </w:r>
            <m:oMath>
              <m:r>
                <m:rPr>
                  <m:sty m:val="p"/>
                </m:rPr>
                <w:rPr>
                  <w:rFonts w:hint="eastAsia" w:ascii="DejaVu Math TeX Gyre" w:hAnsi="DejaVu Math TeX Gyre" w:eastAsiaTheme="minorEastAsia" w:cstheme="minorEastAsia"/>
                  <w:color w:val="000000"/>
                  <w:sz w:val="21"/>
                  <w:szCs w:val="21"/>
                  <w:vertAlign w:val="baseline"/>
                  <w:lang w:val="en-US"/>
                </w:rPr>
                <m:t>±</m:t>
              </m:r>
            </m:oMath>
            <w:r>
              <w:rPr>
                <w:rFonts w:hint="eastAsia" w:asciiTheme="minorEastAsia" w:hAnsiTheme="minorEastAsia" w:eastAsiaTheme="minorEastAsia" w:cstheme="minorEastAsia"/>
                <w:i w:val="0"/>
                <w:color w:val="000000"/>
                <w:sz w:val="21"/>
                <w:szCs w:val="21"/>
                <w:vertAlign w:val="baseline"/>
                <w:lang w:val="en-US"/>
              </w:rPr>
              <w:t>1.14</w:t>
            </w:r>
          </w:p>
        </w:tc>
        <w:tc>
          <w:tcPr>
            <w:tcW w:w="833" w:type="pct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0B8A415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  <w:t>7.77</w:t>
            </w:r>
            <m:oMath>
              <m:r>
                <m:rPr>
                  <m:sty m:val="p"/>
                </m:rPr>
                <w:rPr>
                  <w:rFonts w:hint="eastAsia" w:ascii="DejaVu Math TeX Gyre" w:hAnsi="DejaVu Math TeX Gyre" w:eastAsiaTheme="minorEastAsia" w:cstheme="minorEastAsia"/>
                  <w:color w:val="000000"/>
                  <w:sz w:val="21"/>
                  <w:szCs w:val="21"/>
                  <w:vertAlign w:val="baseline"/>
                  <w:lang w:val="en-US"/>
                </w:rPr>
                <m:t>±</m:t>
              </m:r>
            </m:oMath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00000"/>
                <w:sz w:val="21"/>
                <w:szCs w:val="21"/>
                <w:vertAlign w:val="baseline"/>
                <w:lang w:val="en-US"/>
              </w:rPr>
              <w:t>0.89</w:t>
            </w:r>
          </w:p>
        </w:tc>
        <w:tc>
          <w:tcPr>
            <w:tcW w:w="833" w:type="pct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5643880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  <w:t>3.04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superscript"/>
                <w:lang w:val="en-US" w:eastAsia="zh-CN"/>
              </w:rPr>
              <w:t>**</w:t>
            </w:r>
          </w:p>
        </w:tc>
        <w:tc>
          <w:tcPr>
            <w:tcW w:w="833" w:type="pct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19A9D6D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  <w:t>0.007</w:t>
            </w:r>
          </w:p>
        </w:tc>
        <w:tc>
          <w:tcPr>
            <w:tcW w:w="833" w:type="pct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023A836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  <w:t>0.68</w:t>
            </w:r>
          </w:p>
        </w:tc>
      </w:tr>
      <w:tr w14:paraId="04B15D93"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732A274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  <w:t>Control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49B3AFF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  <w:t>8.79</w:t>
            </w:r>
            <m:oMath>
              <m:r>
                <m:rPr>
                  <m:sty m:val="p"/>
                </m:rPr>
                <w:rPr>
                  <w:rFonts w:hint="eastAsia" w:ascii="DejaVu Math TeX Gyre" w:hAnsi="DejaVu Math TeX Gyre" w:eastAsiaTheme="minorEastAsia" w:cstheme="minorEastAsia"/>
                  <w:color w:val="000000"/>
                  <w:sz w:val="21"/>
                  <w:szCs w:val="21"/>
                  <w:vertAlign w:val="baseline"/>
                  <w:lang w:val="en-US"/>
                </w:rPr>
                <m:t>±</m:t>
              </m:r>
            </m:oMath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00000"/>
                <w:sz w:val="21"/>
                <w:szCs w:val="21"/>
                <w:vertAlign w:val="baseline"/>
                <w:lang w:val="en-US"/>
              </w:rPr>
              <w:t>0.91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F16A045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  <w:t>8.63</w:t>
            </w:r>
            <m:oMath>
              <m:r>
                <m:rPr>
                  <m:sty m:val="p"/>
                </m:rPr>
                <w:rPr>
                  <w:rFonts w:hint="eastAsia" w:ascii="DejaVu Math TeX Gyre" w:hAnsi="DejaVu Math TeX Gyre" w:eastAsiaTheme="minorEastAsia" w:cstheme="minorEastAsia"/>
                  <w:color w:val="000000"/>
                  <w:sz w:val="21"/>
                  <w:szCs w:val="21"/>
                  <w:vertAlign w:val="baseline"/>
                  <w:lang w:val="en-US"/>
                </w:rPr>
                <m:t>±</m:t>
              </m:r>
            </m:oMath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00000"/>
                <w:sz w:val="21"/>
                <w:szCs w:val="21"/>
                <w:vertAlign w:val="baseline"/>
                <w:lang w:val="en-US"/>
              </w:rPr>
              <w:t>0.78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09DE655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  <w:t>0.52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6A30382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  <w:t>0.61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F9A5F35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  <w:t>0.12</w:t>
            </w:r>
          </w:p>
        </w:tc>
      </w:tr>
      <w:tr w14:paraId="571E8CD6"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132D7BE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vertAlign w:val="baseline"/>
                <w:lang w:val="en-US" w:eastAsia="zh-CN"/>
              </w:rPr>
              <w:t>t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5CE64D0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  <w:t>-0.28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8E6E072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  <w:t>-3.25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superscript"/>
                <w:lang w:val="en-US" w:eastAsia="zh-CN"/>
              </w:rPr>
              <w:t>**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4FFBFC0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714A691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FF40F7C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05C807C7">
        <w:tc>
          <w:tcPr>
            <w:tcW w:w="833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5031A2FF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vertAlign w:val="baseline"/>
                <w:lang w:val="en-US" w:eastAsia="zh-CN"/>
              </w:rPr>
              <w:t>p</w:t>
            </w:r>
          </w:p>
        </w:tc>
        <w:tc>
          <w:tcPr>
            <w:tcW w:w="833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1F4873DC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  <w:t>0.78</w:t>
            </w:r>
          </w:p>
        </w:tc>
        <w:tc>
          <w:tcPr>
            <w:tcW w:w="833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53B25D64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  <w:t>0.002</w:t>
            </w:r>
          </w:p>
        </w:tc>
        <w:tc>
          <w:tcPr>
            <w:tcW w:w="833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4CBC88E0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833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7543EC95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833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19EB6EFA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</w:p>
        </w:tc>
      </w:tr>
    </w:tbl>
    <w:p w14:paraId="3951D84F">
      <w:pP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注：</w:t>
      </w:r>
      <w:r>
        <w:rPr>
          <w:rFonts w:hint="eastAsia" w:asciiTheme="minorEastAsia" w:hAnsiTheme="minorEastAsia" w:eastAsiaTheme="minorEastAsia" w:cstheme="minorEastAsia"/>
          <w:b w:val="0"/>
          <w:color w:val="000000"/>
          <w:sz w:val="21"/>
          <w:szCs w:val="21"/>
          <w:vertAlign w:val="superscript"/>
          <w:lang w:val="en-US" w:eastAsia="zh-CN"/>
        </w:rPr>
        <w:t>*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:p&lt;0.05;</w:t>
      </w:r>
      <w:r>
        <w:rPr>
          <w:rFonts w:hint="eastAsia" w:asciiTheme="minorEastAsia" w:hAnsiTheme="minorEastAsia" w:eastAsiaTheme="minorEastAsia" w:cstheme="minorEastAsia"/>
          <w:b w:val="0"/>
          <w:color w:val="000000"/>
          <w:sz w:val="21"/>
          <w:szCs w:val="21"/>
          <w:vertAlign w:val="superscript"/>
          <w:lang w:val="en-US" w:eastAsia="zh-CN"/>
        </w:rPr>
        <w:t>**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:p&lt;0.01;</w:t>
      </w:r>
      <w:r>
        <w:rPr>
          <w:rFonts w:hint="eastAsia" w:asciiTheme="minorEastAsia" w:hAnsiTheme="minorEastAsia" w:eastAsiaTheme="minorEastAsia" w:cstheme="minorEastAsia"/>
          <w:b w:val="0"/>
          <w:color w:val="000000"/>
          <w:sz w:val="21"/>
          <w:szCs w:val="21"/>
          <w:vertAlign w:val="superscript"/>
          <w:lang w:val="en-US" w:eastAsia="zh-CN"/>
        </w:rPr>
        <w:t>***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:p&lt;0.001</w:t>
      </w:r>
    </w:p>
    <w:p w14:paraId="4C6B3626">
      <w:pPr>
        <w:ind w:firstLine="420" w:firstLineChars="0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vertAlign w:val="superscript"/>
          <w:lang w:val="en-US" w:eastAsia="zh-CN"/>
        </w:rPr>
        <w:t>1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:Cohen’s d:Small Effect-Size:0.2;Medium Effect-Size:0.5;Large Effect-Size:0.8</w:t>
      </w:r>
    </w:p>
    <w:p w14:paraId="00D09AEC">
      <w:pPr>
        <w:ind w:left="0" w:leftChars="0" w:firstLine="0" w:firstLineChars="0"/>
        <w:jc w:val="center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drawing>
          <wp:inline distT="0" distB="0" distL="114300" distR="114300">
            <wp:extent cx="2572385" cy="1566545"/>
            <wp:effectExtent l="0" t="0" r="18415" b="825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572385" cy="1566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drawing>
          <wp:inline distT="0" distB="0" distL="114300" distR="114300">
            <wp:extent cx="2496820" cy="2034540"/>
            <wp:effectExtent l="0" t="0" r="17780" b="2286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96820" cy="2034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605F29">
      <w:pPr>
        <w:ind w:left="0" w:leftChars="0" w:firstLine="0" w:firstLineChars="0"/>
        <w:jc w:val="center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图1 实验组与对照组50米成绩实验前、后对比分析图</w:t>
      </w:r>
    </w:p>
    <w:p w14:paraId="6C470A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20" w:firstLineChars="200"/>
        <w:jc w:val="left"/>
        <w:textAlignment w:val="auto"/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>实验组与对照组50米成绩实验前、后对比分析结果如表1和图1所示，实验干预实施前，实验组与对照组的50米跑成绩分别为（8.70±1.14）秒与（8.79±0.91）秒，经独立样本t检验，两组前测成绩无统计学显著差异（t=-0.28，p=0.78），结果满足后续进行组间效果比较的前提条件；经两组前后测配对样本t检验，实验组干预后的成绩（7.77±0.89秒）较干预前显著提升，差异具有统计学意义（t=3.04，p=0.007），效应量Cohen</w:t>
      </w:r>
      <w:r>
        <w:rPr>
          <w:rFonts w:hint="default" w:asciiTheme="minorEastAsia" w:hAnsiTheme="minorEastAsia" w:cstheme="minorEastAsia"/>
          <w:sz w:val="21"/>
          <w:szCs w:val="21"/>
          <w:lang w:val="en-US" w:eastAsia="zh-CN"/>
        </w:rPr>
        <w:t>’</w:t>
      </w: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>s d=0.68，属于中等偏大的效应量，表明实验干预不仅具有统计显著性，更产生了具有实际意义的积极影响；而对照组前后测成绩变化未达显著水平（t=0.52，p=0.61），且效应量微小（d=0.12），成绩未发生实质性改变；经两组后测成绩进行独立样本t检验，结果显示，实验组的后测成绩显著优于对照组，差异具有统计学意义（t=-3.25，p=0.002）</w:t>
      </w:r>
      <w:r>
        <w:rPr>
          <w:rFonts w:hint="default" w:asciiTheme="minorEastAsia" w:hAnsiTheme="minorEastAsia" w:cstheme="minorEastAsia"/>
          <w:sz w:val="21"/>
          <w:szCs w:val="21"/>
          <w:lang w:val="en-US" w:eastAsia="zh-CN"/>
        </w:rPr>
        <w:t>。</w:t>
      </w: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>由此，实验干预对50米成绩有显著正向影响。</w:t>
      </w:r>
    </w:p>
    <w:p w14:paraId="12EFF10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20" w:firstLineChars="200"/>
        <w:jc w:val="left"/>
        <w:textAlignment w:val="auto"/>
        <w:rPr>
          <w:rFonts w:hint="eastAsia" w:asciiTheme="minorEastAsia" w:hAnsiTheme="minorEastAsia" w:cstheme="minorEastAsia"/>
          <w:sz w:val="21"/>
          <w:szCs w:val="21"/>
          <w:lang w:val="en-US" w:eastAsia="zh-CN"/>
        </w:rPr>
      </w:pPr>
    </w:p>
    <w:p w14:paraId="1520A3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jc w:val="left"/>
        <w:textAlignment w:val="auto"/>
        <w:rPr>
          <w:rFonts w:hint="default" w:asciiTheme="minorEastAsia" w:hAnsiTheme="minorEastAsia" w:cstheme="minorEastAsia"/>
          <w:b/>
          <w:bCs/>
          <w:sz w:val="21"/>
          <w:szCs w:val="21"/>
          <w:lang w:val="en-US" w:eastAsia="zh-CN"/>
        </w:rPr>
      </w:pPr>
      <w:r>
        <w:rPr>
          <w:rFonts w:hint="default" w:asciiTheme="minorEastAsia" w:hAnsiTheme="minorEastAsia" w:cstheme="minorEastAsia"/>
          <w:b/>
          <w:bCs/>
          <w:sz w:val="21"/>
          <w:szCs w:val="21"/>
          <w:lang w:val="en-US" w:eastAsia="zh-CN"/>
        </w:rPr>
        <w:t>Table 1</w:t>
      </w:r>
    </w:p>
    <w:p w14:paraId="6D969EC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jc w:val="left"/>
        <w:textAlignment w:val="auto"/>
        <w:rPr>
          <w:rFonts w:hint="default" w:asciiTheme="minorEastAsia" w:hAnsiTheme="minorEastAsia" w:eastAsiaTheme="minorEastAsia" w:cstheme="minorEastAsia"/>
          <w:i/>
          <w:iCs/>
          <w:sz w:val="21"/>
          <w:szCs w:val="21"/>
          <w:lang w:val="en-US" w:eastAsia="zh-CN"/>
        </w:rPr>
      </w:pPr>
      <w:r>
        <w:rPr>
          <w:rFonts w:hint="default" w:asciiTheme="minorEastAsia" w:hAnsiTheme="minorEastAsia" w:cstheme="minorEastAsia"/>
          <w:i/>
          <w:iCs/>
          <w:sz w:val="21"/>
          <w:szCs w:val="21"/>
          <w:lang w:val="en-US" w:eastAsia="zh-CN"/>
        </w:rPr>
        <w:t>Means, Standard Deviations, and Results from t Tests for 50-Meter Dash Times</w:t>
      </w:r>
    </w:p>
    <w:tbl>
      <w:tblPr>
        <w:tblStyle w:val="3"/>
        <w:tblW w:w="499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6"/>
        <w:gridCol w:w="879"/>
        <w:gridCol w:w="882"/>
        <w:gridCol w:w="332"/>
        <w:gridCol w:w="879"/>
        <w:gridCol w:w="882"/>
        <w:gridCol w:w="332"/>
        <w:gridCol w:w="1052"/>
        <w:gridCol w:w="882"/>
        <w:gridCol w:w="1753"/>
        <w:gridCol w:w="1132"/>
        <w:gridCol w:w="1886"/>
        <w:gridCol w:w="1691"/>
      </w:tblGrid>
      <w:tr w14:paraId="627294F0">
        <w:tc>
          <w:tcPr>
            <w:tcW w:w="559" w:type="pct"/>
            <w:vMerge w:val="restart"/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  <w:vAlign w:val="center"/>
          </w:tcPr>
          <w:p w14:paraId="46823E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  <w:t>Group</w:t>
            </w:r>
          </w:p>
        </w:tc>
        <w:tc>
          <w:tcPr>
            <w:tcW w:w="621" w:type="pct"/>
            <w:gridSpan w:val="2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3D3513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i/>
                <w:iCs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  <w:t>Pre</w:t>
            </w:r>
            <w:r>
              <w:rPr>
                <w:rFonts w:hint="default" w:asciiTheme="minorEastAsia" w:hAnsi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  <w:t>(</w:t>
            </w:r>
            <w:r>
              <w:rPr>
                <w:rFonts w:hint="default" w:asciiTheme="minorEastAsia" w:hAnsiTheme="minorEastAsia" w:cstheme="minorEastAsia"/>
                <w:b w:val="0"/>
                <w:i/>
                <w:iCs/>
                <w:color w:val="000000"/>
                <w:sz w:val="21"/>
                <w:szCs w:val="21"/>
                <w:vertAlign w:val="baseline"/>
                <w:lang w:val="en-US" w:eastAsia="zh-CN"/>
              </w:rPr>
              <w:t>n</w:t>
            </w:r>
            <w:r>
              <w:rPr>
                <w:rFonts w:hint="default" w:asciiTheme="minorEastAsia" w:hAnsi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  <w:t>=21)</w:t>
            </w:r>
          </w:p>
        </w:tc>
        <w:tc>
          <w:tcPr>
            <w:tcW w:w="117" w:type="pct"/>
            <w:vMerge w:val="restart"/>
            <w:tcBorders>
              <w:top w:val="single" w:color="000000" w:sz="12" w:space="0"/>
              <w:left w:val="nil"/>
              <w:right w:val="nil"/>
            </w:tcBorders>
            <w:shd w:val="clear" w:color="auto" w:fill="FFFFFF"/>
            <w:vAlign w:val="center"/>
          </w:tcPr>
          <w:p w14:paraId="6C23041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621" w:type="pct"/>
            <w:gridSpan w:val="2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2577215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  <w:t>Pos</w:t>
            </w:r>
            <w:r>
              <w:rPr>
                <w:rFonts w:hint="default" w:asciiTheme="minorEastAsia" w:hAnsi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  <w:t>t(</w:t>
            </w:r>
            <w:r>
              <w:rPr>
                <w:rFonts w:hint="default" w:asciiTheme="minorEastAsia" w:hAnsiTheme="minorEastAsia" w:cstheme="minorEastAsia"/>
                <w:b w:val="0"/>
                <w:i/>
                <w:iCs/>
                <w:color w:val="000000"/>
                <w:sz w:val="21"/>
                <w:szCs w:val="21"/>
                <w:vertAlign w:val="baseline"/>
                <w:lang w:val="en-US" w:eastAsia="zh-CN"/>
              </w:rPr>
              <w:t>n</w:t>
            </w:r>
            <w:r>
              <w:rPr>
                <w:rFonts w:hint="default" w:asciiTheme="minorEastAsia" w:hAnsi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  <w:t>=21)</w:t>
            </w:r>
          </w:p>
        </w:tc>
        <w:tc>
          <w:tcPr>
            <w:tcW w:w="117" w:type="pct"/>
            <w:vMerge w:val="restart"/>
            <w:tcBorders>
              <w:top w:val="single" w:color="000000" w:sz="12" w:space="0"/>
              <w:left w:val="nil"/>
              <w:right w:val="nil"/>
            </w:tcBorders>
            <w:shd w:val="clear" w:color="auto" w:fill="FFFFFF"/>
            <w:vAlign w:val="center"/>
          </w:tcPr>
          <w:p w14:paraId="42011DF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682" w:type="pct"/>
            <w:gridSpan w:val="2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68102B3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Theme="minorEastAsia" w:hAnsi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  <w:t>Change</w:t>
            </w:r>
            <w:r>
              <w:rPr>
                <w:rFonts w:hint="default" w:asciiTheme="minorEastAsia" w:hAnsiTheme="minorEastAsia" w:cstheme="minorEastAsia"/>
                <w:b w:val="0"/>
                <w:color w:val="000000"/>
                <w:sz w:val="21"/>
                <w:szCs w:val="21"/>
                <w:vertAlign w:val="superscript"/>
                <w:lang w:val="en-US" w:eastAsia="zh-CN"/>
              </w:rPr>
              <w:t>4</w:t>
            </w:r>
          </w:p>
        </w:tc>
        <w:tc>
          <w:tcPr>
            <w:tcW w:w="618" w:type="pct"/>
            <w:vMerge w:val="restart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77297E6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center"/>
              <w:textAlignment w:val="auto"/>
              <w:rPr>
                <w:rFonts w:hint="default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/>
                <w:iCs/>
                <w:color w:val="000000"/>
                <w:sz w:val="21"/>
                <w:szCs w:val="21"/>
                <w:vertAlign w:val="baseline"/>
                <w:lang w:val="en-US" w:eastAsia="zh-CN"/>
              </w:rPr>
              <w:t>t</w:t>
            </w:r>
            <w:r>
              <w:rPr>
                <w:rFonts w:hint="default" w:asciiTheme="minorEastAsia" w:hAnsiTheme="minorEastAsia" w:cstheme="minorEastAsia"/>
                <w:b w:val="0"/>
                <w:i/>
                <w:iCs/>
                <w:color w:val="000000"/>
                <w:sz w:val="21"/>
                <w:szCs w:val="21"/>
                <w:vertAlign w:val="baseline"/>
                <w:lang w:val="en-US" w:eastAsia="zh-CN"/>
              </w:rPr>
              <w:t xml:space="preserve"> </w:t>
            </w:r>
            <w:r>
              <w:rPr>
                <w:rFonts w:hint="default" w:asciiTheme="minorEastAsia" w:hAnsi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vertAlign w:val="baseline"/>
                <w:lang w:val="en-US" w:eastAsia="zh-CN"/>
              </w:rPr>
              <w:t>(20)</w:t>
            </w:r>
            <w:r>
              <w:rPr>
                <w:rFonts w:hint="default" w:asciiTheme="minorEastAsia" w:hAnsi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vertAlign w:val="superscript"/>
                <w:lang w:val="en-US" w:eastAsia="zh-CN"/>
              </w:rPr>
              <w:t>2</w:t>
            </w:r>
          </w:p>
        </w:tc>
        <w:tc>
          <w:tcPr>
            <w:tcW w:w="399" w:type="pct"/>
            <w:vMerge w:val="restart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0979435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i/>
                <w:iCs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/>
                <w:iCs/>
                <w:color w:val="000000"/>
                <w:sz w:val="21"/>
                <w:szCs w:val="21"/>
                <w:vertAlign w:val="baseline"/>
                <w:lang w:val="en-US" w:eastAsia="zh-CN"/>
              </w:rPr>
              <w:t>p</w:t>
            </w:r>
          </w:p>
        </w:tc>
        <w:tc>
          <w:tcPr>
            <w:tcW w:w="1261" w:type="pct"/>
            <w:gridSpan w:val="2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00985D2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center"/>
              <w:textAlignment w:val="auto"/>
              <w:rPr>
                <w:rFonts w:hint="default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Theme="minorEastAsia" w:hAnsi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  <w:t>Effect Size</w:t>
            </w:r>
          </w:p>
        </w:tc>
      </w:tr>
      <w:tr w14:paraId="5AEB9E6E">
        <w:tc>
          <w:tcPr>
            <w:tcW w:w="559" w:type="pct"/>
            <w:vMerge w:val="continue"/>
            <w:tcBorders>
              <w:top w:val="single" w:color="000000" w:sz="4" w:space="0"/>
              <w:left w:val="nil"/>
              <w:bottom w:val="single" w:color="auto" w:sz="4" w:space="0"/>
              <w:right w:val="nil"/>
              <w:tl2br w:val="nil"/>
            </w:tcBorders>
            <w:shd w:val="clear" w:color="auto" w:fill="FFFFFF"/>
            <w:vAlign w:val="center"/>
          </w:tcPr>
          <w:p w14:paraId="376C3B6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310" w:type="pct"/>
            <w:tcBorders>
              <w:top w:val="single" w:color="000000" w:sz="4" w:space="0"/>
              <w:left w:val="nil"/>
              <w:bottom w:val="single" w:color="auto" w:sz="4" w:space="0"/>
              <w:right w:val="nil"/>
            </w:tcBorders>
            <w:shd w:val="clear" w:color="auto" w:fill="FFFFFF"/>
            <w:vAlign w:val="center"/>
          </w:tcPr>
          <w:p w14:paraId="2EBFA2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center"/>
              <w:textAlignment w:val="auto"/>
              <w:rPr>
                <w:rFonts w:hint="default" w:asciiTheme="minorEastAsia" w:hAnsiTheme="minorEastAsia" w:eastAsiaTheme="minorEastAsia" w:cstheme="minorEastAsia"/>
                <w:b w:val="0"/>
                <w:i/>
                <w:iCs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Theme="minorEastAsia" w:hAnsiTheme="minorEastAsia" w:cstheme="minorEastAsia"/>
                <w:b w:val="0"/>
                <w:i/>
                <w:iCs/>
                <w:color w:val="000000"/>
                <w:sz w:val="21"/>
                <w:szCs w:val="21"/>
                <w:vertAlign w:val="baseline"/>
                <w:lang w:val="en-US" w:eastAsia="zh-CN"/>
              </w:rPr>
              <w:t>M</w:t>
            </w:r>
          </w:p>
        </w:tc>
        <w:tc>
          <w:tcPr>
            <w:tcW w:w="310" w:type="pct"/>
            <w:tcBorders>
              <w:top w:val="single" w:color="000000" w:sz="4" w:space="0"/>
              <w:left w:val="nil"/>
              <w:bottom w:val="single" w:color="auto" w:sz="4" w:space="0"/>
              <w:right w:val="nil"/>
            </w:tcBorders>
            <w:shd w:val="clear" w:color="auto" w:fill="FFFFFF"/>
            <w:vAlign w:val="center"/>
          </w:tcPr>
          <w:p w14:paraId="589BA4B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center"/>
              <w:textAlignment w:val="auto"/>
              <w:rPr>
                <w:rFonts w:hint="default" w:asciiTheme="minorEastAsia" w:hAnsiTheme="minorEastAsia" w:eastAsiaTheme="minorEastAsia" w:cstheme="minorEastAsia"/>
                <w:b w:val="0"/>
                <w:i/>
                <w:iCs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Theme="minorEastAsia" w:hAnsiTheme="minorEastAsia" w:cstheme="minorEastAsia"/>
                <w:b w:val="0"/>
                <w:i/>
                <w:iCs/>
                <w:color w:val="000000"/>
                <w:sz w:val="21"/>
                <w:szCs w:val="21"/>
                <w:vertAlign w:val="baseline"/>
                <w:lang w:val="en-US" w:eastAsia="zh-CN"/>
              </w:rPr>
              <w:t>SD</w:t>
            </w:r>
          </w:p>
        </w:tc>
        <w:tc>
          <w:tcPr>
            <w:tcW w:w="117" w:type="pct"/>
            <w:vMerge w:val="continue"/>
            <w:tcBorders>
              <w:left w:val="nil"/>
              <w:bottom w:val="single" w:color="auto" w:sz="4" w:space="0"/>
              <w:right w:val="nil"/>
            </w:tcBorders>
            <w:shd w:val="clear" w:color="auto" w:fill="FFFFFF"/>
            <w:vAlign w:val="center"/>
          </w:tcPr>
          <w:p w14:paraId="668DE9C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i/>
                <w:iCs/>
                <w:color w:val="00000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310" w:type="pct"/>
            <w:tcBorders>
              <w:top w:val="single" w:color="000000" w:sz="4" w:space="0"/>
              <w:left w:val="nil"/>
              <w:bottom w:val="single" w:color="auto" w:sz="4" w:space="0"/>
              <w:right w:val="nil"/>
            </w:tcBorders>
            <w:shd w:val="clear" w:color="auto" w:fill="FFFFFF"/>
            <w:vAlign w:val="center"/>
          </w:tcPr>
          <w:p w14:paraId="06BDD85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Theme="minorEastAsia" w:hAnsiTheme="minorEastAsia" w:cstheme="minorEastAsia"/>
                <w:b w:val="0"/>
                <w:i/>
                <w:iCs/>
                <w:color w:val="000000"/>
                <w:sz w:val="21"/>
                <w:szCs w:val="21"/>
                <w:vertAlign w:val="baseline"/>
                <w:lang w:val="en-US" w:eastAsia="zh-CN"/>
              </w:rPr>
              <w:t>M</w:t>
            </w:r>
          </w:p>
        </w:tc>
        <w:tc>
          <w:tcPr>
            <w:tcW w:w="310" w:type="pct"/>
            <w:tcBorders>
              <w:top w:val="single" w:color="000000" w:sz="4" w:space="0"/>
              <w:left w:val="nil"/>
              <w:bottom w:val="single" w:color="auto" w:sz="4" w:space="0"/>
              <w:right w:val="nil"/>
            </w:tcBorders>
            <w:shd w:val="clear" w:color="auto" w:fill="FFFFFF"/>
            <w:vAlign w:val="center"/>
          </w:tcPr>
          <w:p w14:paraId="27CC2FC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Theme="minorEastAsia" w:hAnsiTheme="minorEastAsia" w:cstheme="minorEastAsia"/>
                <w:b w:val="0"/>
                <w:i/>
                <w:iCs/>
                <w:color w:val="000000"/>
                <w:sz w:val="21"/>
                <w:szCs w:val="21"/>
                <w:vertAlign w:val="baseline"/>
                <w:lang w:val="en-US" w:eastAsia="zh-CN"/>
              </w:rPr>
              <w:t>SD</w:t>
            </w:r>
          </w:p>
        </w:tc>
        <w:tc>
          <w:tcPr>
            <w:tcW w:w="117" w:type="pct"/>
            <w:vMerge w:val="continue"/>
            <w:tcBorders>
              <w:left w:val="nil"/>
              <w:bottom w:val="single" w:color="auto" w:sz="4" w:space="0"/>
              <w:right w:val="nil"/>
            </w:tcBorders>
            <w:shd w:val="clear" w:color="auto" w:fill="FFFFFF"/>
            <w:vAlign w:val="center"/>
          </w:tcPr>
          <w:p w14:paraId="5C7E9B6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i/>
                <w:iCs/>
                <w:color w:val="00000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371" w:type="pct"/>
            <w:tcBorders>
              <w:top w:val="single" w:color="000000" w:sz="4" w:space="0"/>
              <w:left w:val="nil"/>
              <w:bottom w:val="single" w:color="auto" w:sz="4" w:space="0"/>
              <w:right w:val="nil"/>
            </w:tcBorders>
            <w:shd w:val="clear" w:color="auto" w:fill="FFFFFF"/>
            <w:vAlign w:val="center"/>
          </w:tcPr>
          <w:p w14:paraId="15BC32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Theme="minorEastAsia" w:hAnsiTheme="minorEastAsia" w:cstheme="minorEastAsia"/>
                <w:b w:val="0"/>
                <w:i/>
                <w:iCs/>
                <w:color w:val="000000"/>
                <w:sz w:val="21"/>
                <w:szCs w:val="21"/>
                <w:vertAlign w:val="baseline"/>
                <w:lang w:val="en-US" w:eastAsia="zh-CN"/>
              </w:rPr>
              <w:t>M</w:t>
            </w:r>
          </w:p>
        </w:tc>
        <w:tc>
          <w:tcPr>
            <w:tcW w:w="310" w:type="pct"/>
            <w:tcBorders>
              <w:top w:val="single" w:color="000000" w:sz="4" w:space="0"/>
              <w:left w:val="nil"/>
              <w:bottom w:val="single" w:color="auto" w:sz="4" w:space="0"/>
              <w:right w:val="nil"/>
            </w:tcBorders>
            <w:shd w:val="clear" w:color="auto" w:fill="FFFFFF"/>
            <w:vAlign w:val="center"/>
          </w:tcPr>
          <w:p w14:paraId="2B264B0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Theme="minorEastAsia" w:hAnsiTheme="minorEastAsia" w:cstheme="minorEastAsia"/>
                <w:b w:val="0"/>
                <w:i/>
                <w:iCs/>
                <w:color w:val="000000"/>
                <w:sz w:val="21"/>
                <w:szCs w:val="21"/>
                <w:vertAlign w:val="baseline"/>
                <w:lang w:val="en-US" w:eastAsia="zh-CN"/>
              </w:rPr>
              <w:t>SD</w:t>
            </w:r>
          </w:p>
        </w:tc>
        <w:tc>
          <w:tcPr>
            <w:tcW w:w="618" w:type="pct"/>
            <w:vMerge w:val="continue"/>
            <w:tcBorders>
              <w:top w:val="single" w:color="000000" w:sz="4" w:space="0"/>
              <w:left w:val="nil"/>
              <w:bottom w:val="single" w:color="auto" w:sz="4" w:space="0"/>
              <w:right w:val="nil"/>
            </w:tcBorders>
            <w:shd w:val="clear" w:color="auto" w:fill="FFFFFF"/>
            <w:vAlign w:val="center"/>
          </w:tcPr>
          <w:p w14:paraId="487416E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399" w:type="pct"/>
            <w:vMerge w:val="continue"/>
            <w:tcBorders>
              <w:top w:val="single" w:color="000000" w:sz="4" w:space="0"/>
              <w:left w:val="nil"/>
              <w:bottom w:val="single" w:color="auto" w:sz="4" w:space="0"/>
              <w:right w:val="nil"/>
            </w:tcBorders>
            <w:shd w:val="clear" w:color="auto" w:fill="FFFFFF"/>
            <w:vAlign w:val="center"/>
          </w:tcPr>
          <w:p w14:paraId="4C70194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665" w:type="pct"/>
            <w:tcBorders>
              <w:top w:val="single" w:color="000000" w:sz="4" w:space="0"/>
              <w:left w:val="nil"/>
              <w:bottom w:val="single" w:color="auto" w:sz="4" w:space="0"/>
              <w:right w:val="nil"/>
            </w:tcBorders>
            <w:shd w:val="clear" w:color="auto" w:fill="FFFFFF"/>
            <w:vAlign w:val="center"/>
          </w:tcPr>
          <w:p w14:paraId="3F78682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Theme="minorEastAsia" w:hAnsi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  <w:t xml:space="preserve">Cohen’s 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i/>
                <w:iCs/>
                <w:color w:val="000000"/>
                <w:sz w:val="21"/>
                <w:szCs w:val="21"/>
                <w:vertAlign w:val="baseline"/>
                <w:lang w:val="en-US" w:eastAsia="zh-CN"/>
              </w:rPr>
              <w:t>d</w:t>
            </w:r>
            <w:r>
              <w:rPr>
                <w:rFonts w:hint="default" w:asciiTheme="minorEastAsia" w:hAnsiTheme="minorEastAsia" w:cstheme="minorEastAsia"/>
                <w:b w:val="0"/>
                <w:i/>
                <w:iCs/>
                <w:color w:val="000000"/>
                <w:sz w:val="21"/>
                <w:szCs w:val="21"/>
                <w:vertAlign w:val="baseline"/>
                <w:lang w:val="en-US" w:eastAsia="zh-CN"/>
              </w:rPr>
              <w:t xml:space="preserve"> 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superscript"/>
                <w:lang w:val="en-US" w:eastAsia="zh-CN"/>
              </w:rPr>
              <w:t>1</w:t>
            </w:r>
          </w:p>
        </w:tc>
        <w:tc>
          <w:tcPr>
            <w:tcW w:w="595" w:type="pct"/>
            <w:tcBorders>
              <w:top w:val="single" w:color="000000" w:sz="4" w:space="0"/>
              <w:left w:val="nil"/>
              <w:bottom w:val="single" w:color="auto" w:sz="4" w:space="0"/>
              <w:right w:val="nil"/>
            </w:tcBorders>
            <w:shd w:val="clear" w:color="auto" w:fill="FFFFFF"/>
            <w:vAlign w:val="center"/>
          </w:tcPr>
          <w:p w14:paraId="14981E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center"/>
              <w:textAlignment w:val="auto"/>
              <w:rPr>
                <w:rFonts w:hint="default" w:asciiTheme="minorEastAsia" w:hAnsiTheme="minorEastAsia" w:eastAsiaTheme="minorEastAsia" w:cstheme="minorEastAsia"/>
                <w:b w:val="0"/>
                <w:color w:val="00000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Theme="minorEastAsia" w:hAnsi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  <w:t>95%CI</w:t>
            </w:r>
          </w:p>
        </w:tc>
      </w:tr>
      <w:tr w14:paraId="72C9EE4B">
        <w:tc>
          <w:tcPr>
            <w:tcW w:w="559" w:type="pct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A29F19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  <w:t>Treatment</w:t>
            </w:r>
          </w:p>
        </w:tc>
        <w:tc>
          <w:tcPr>
            <w:tcW w:w="310" w:type="pct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567EB3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center"/>
              <w:textAlignment w:val="auto"/>
              <w:rPr>
                <w:rFonts w:hint="default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  <w:t>8.70</w:t>
            </w:r>
          </w:p>
        </w:tc>
        <w:tc>
          <w:tcPr>
            <w:tcW w:w="310" w:type="pct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1B14A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center"/>
              <w:textAlignment w:val="auto"/>
              <w:rPr>
                <w:rFonts w:hint="default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Theme="minorEastAsia" w:hAnsi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  <w:t>1.11</w:t>
            </w:r>
          </w:p>
        </w:tc>
        <w:tc>
          <w:tcPr>
            <w:tcW w:w="117" w:type="pct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6F444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310" w:type="pct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B67EEB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center"/>
              <w:textAlignment w:val="auto"/>
              <w:rPr>
                <w:rFonts w:hint="default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  <w:t>7.</w:t>
            </w:r>
            <w:r>
              <w:rPr>
                <w:rFonts w:hint="default" w:asciiTheme="minorEastAsia" w:hAnsi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  <w:t>49</w:t>
            </w:r>
          </w:p>
        </w:tc>
        <w:tc>
          <w:tcPr>
            <w:tcW w:w="310" w:type="pct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7EB511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center"/>
              <w:textAlignment w:val="auto"/>
              <w:rPr>
                <w:rFonts w:hint="default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Theme="minorEastAsia" w:hAnsi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  <w:t>0.97</w:t>
            </w:r>
          </w:p>
        </w:tc>
        <w:tc>
          <w:tcPr>
            <w:tcW w:w="117" w:type="pct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3D59F2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371" w:type="pct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C8475E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center"/>
              <w:textAlignment w:val="auto"/>
              <w:rPr>
                <w:rFonts w:hint="default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Theme="minorEastAsia" w:hAnsi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  <w:t>-1.21</w:t>
            </w:r>
          </w:p>
        </w:tc>
        <w:tc>
          <w:tcPr>
            <w:tcW w:w="310" w:type="pct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202020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Theme="minorEastAsia" w:hAnsi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  <w:t>0.92</w:t>
            </w:r>
          </w:p>
        </w:tc>
        <w:tc>
          <w:tcPr>
            <w:tcW w:w="618" w:type="pct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EFDB5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center"/>
              <w:textAlignment w:val="auto"/>
              <w:rPr>
                <w:rFonts w:hint="default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Theme="minorEastAsia" w:hAnsi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  <w:t>5.98</w:t>
            </w:r>
            <w:r>
              <w:rPr>
                <w:rFonts w:hint="default" w:asciiTheme="minorEastAsia" w:hAnsiTheme="minorEastAsia" w:cstheme="minorEastAsia"/>
                <w:b w:val="0"/>
                <w:color w:val="000000"/>
                <w:sz w:val="21"/>
                <w:szCs w:val="21"/>
                <w:vertAlign w:val="superscript"/>
                <w:lang w:val="en-US" w:eastAsia="zh-CN"/>
              </w:rPr>
              <w:t>*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superscript"/>
                <w:lang w:val="en-US" w:eastAsia="zh-CN"/>
              </w:rPr>
              <w:t>**</w:t>
            </w:r>
          </w:p>
        </w:tc>
        <w:tc>
          <w:tcPr>
            <w:tcW w:w="399" w:type="pct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C20D95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center"/>
              <w:textAlignment w:val="auto"/>
              <w:rPr>
                <w:rFonts w:hint="default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Theme="minorEastAsia" w:hAnsi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  <w:t xml:space="preserve">&lt; 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  <w:t>.00</w:t>
            </w:r>
            <w:r>
              <w:rPr>
                <w:rFonts w:hint="default" w:asciiTheme="minorEastAsia" w:hAnsi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665" w:type="pct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AED71A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center"/>
              <w:textAlignment w:val="auto"/>
              <w:rPr>
                <w:rFonts w:hint="default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Theme="minorEastAsia" w:hAnsi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  <w:t>1.31</w:t>
            </w:r>
          </w:p>
        </w:tc>
        <w:tc>
          <w:tcPr>
            <w:tcW w:w="595" w:type="pct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B441D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Theme="minorEastAsia" w:hAnsi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  <w:t>[0.71,1.88]</w:t>
            </w:r>
          </w:p>
        </w:tc>
      </w:tr>
      <w:tr w14:paraId="75669722">
        <w:tc>
          <w:tcPr>
            <w:tcW w:w="55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25AFA2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  <w:t>Control</w:t>
            </w:r>
          </w:p>
        </w:tc>
        <w:tc>
          <w:tcPr>
            <w:tcW w:w="31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77A495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  <w:t>8.7</w:t>
            </w:r>
            <w:r>
              <w:rPr>
                <w:rFonts w:hint="default" w:asciiTheme="minorEastAsia" w:hAnsi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  <w:t>5</w:t>
            </w:r>
          </w:p>
        </w:tc>
        <w:tc>
          <w:tcPr>
            <w:tcW w:w="31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B54CA3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center"/>
              <w:textAlignment w:val="auto"/>
              <w:rPr>
                <w:rFonts w:hint="default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Theme="minorEastAsia" w:hAnsi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  <w:t>0.91</w:t>
            </w:r>
          </w:p>
        </w:tc>
        <w:tc>
          <w:tcPr>
            <w:tcW w:w="11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D7EF99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31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658715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center"/>
              <w:textAlignment w:val="auto"/>
              <w:rPr>
                <w:rFonts w:hint="default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  <w:t>8.</w:t>
            </w:r>
            <w:r>
              <w:rPr>
                <w:rFonts w:hint="default" w:asciiTheme="minorEastAsia" w:hAnsi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  <w:t>12</w:t>
            </w:r>
          </w:p>
        </w:tc>
        <w:tc>
          <w:tcPr>
            <w:tcW w:w="31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3E768F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center"/>
              <w:textAlignment w:val="auto"/>
              <w:rPr>
                <w:rFonts w:hint="default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Theme="minorEastAsia" w:hAnsi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  <w:t>0.69</w:t>
            </w:r>
          </w:p>
        </w:tc>
        <w:tc>
          <w:tcPr>
            <w:tcW w:w="11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5C12F9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37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F2BB6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center"/>
              <w:textAlignment w:val="auto"/>
              <w:rPr>
                <w:rFonts w:hint="default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Theme="minorEastAsia" w:hAnsi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  <w:t>-0.63</w:t>
            </w:r>
          </w:p>
        </w:tc>
        <w:tc>
          <w:tcPr>
            <w:tcW w:w="31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BF13BD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Theme="minorEastAsia" w:hAnsi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  <w:t>0.73</w:t>
            </w:r>
          </w:p>
        </w:tc>
        <w:tc>
          <w:tcPr>
            <w:tcW w:w="61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0EBDE0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center"/>
              <w:textAlignment w:val="auto"/>
              <w:rPr>
                <w:rFonts w:hint="default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Theme="minorEastAsia" w:hAnsi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  <w:t>3.94</w:t>
            </w:r>
            <w:r>
              <w:rPr>
                <w:rFonts w:hint="default" w:asciiTheme="minorEastAsia" w:hAnsiTheme="minorEastAsia" w:cstheme="minorEastAsia"/>
                <w:b w:val="0"/>
                <w:color w:val="000000"/>
                <w:sz w:val="21"/>
                <w:szCs w:val="21"/>
                <w:vertAlign w:val="superscript"/>
                <w:lang w:val="en-US" w:eastAsia="zh-CN"/>
              </w:rPr>
              <w:t>***</w:t>
            </w:r>
          </w:p>
        </w:tc>
        <w:tc>
          <w:tcPr>
            <w:tcW w:w="39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358C8B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center"/>
              <w:textAlignment w:val="auto"/>
              <w:rPr>
                <w:rFonts w:hint="default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Theme="minorEastAsia" w:hAnsi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  <w:t>&lt; .001</w:t>
            </w:r>
          </w:p>
        </w:tc>
        <w:tc>
          <w:tcPr>
            <w:tcW w:w="66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1908FC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center"/>
              <w:textAlignment w:val="auto"/>
              <w:rPr>
                <w:rFonts w:hint="default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  <w:t>0.</w:t>
            </w:r>
            <w:r>
              <w:rPr>
                <w:rFonts w:hint="default" w:asciiTheme="minorEastAsia" w:hAnsi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  <w:t>86</w:t>
            </w:r>
          </w:p>
        </w:tc>
        <w:tc>
          <w:tcPr>
            <w:tcW w:w="59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E37788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center"/>
              <w:textAlignment w:val="auto"/>
              <w:rPr>
                <w:rFonts w:hint="default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Theme="minorEastAsia" w:hAnsi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  <w:t>[0.35,1.36]</w:t>
            </w:r>
          </w:p>
        </w:tc>
      </w:tr>
      <w:tr w14:paraId="52CFD122">
        <w:tc>
          <w:tcPr>
            <w:tcW w:w="55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599F8E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center"/>
              <w:textAlignment w:val="auto"/>
              <w:rPr>
                <w:rFonts w:hint="default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/>
                <w:iCs/>
                <w:color w:val="000000"/>
                <w:sz w:val="21"/>
                <w:szCs w:val="21"/>
                <w:vertAlign w:val="baseline"/>
                <w:lang w:val="en-US" w:eastAsia="zh-CN"/>
              </w:rPr>
              <w:t>t</w:t>
            </w:r>
            <w:r>
              <w:rPr>
                <w:rFonts w:hint="default" w:asciiTheme="minorEastAsia" w:hAnsiTheme="minorEastAsia" w:cstheme="minorEastAsia"/>
                <w:b w:val="0"/>
                <w:i/>
                <w:iCs/>
                <w:color w:val="000000"/>
                <w:sz w:val="21"/>
                <w:szCs w:val="21"/>
                <w:vertAlign w:val="baseline"/>
                <w:lang w:val="en-US" w:eastAsia="zh-CN"/>
              </w:rPr>
              <w:t xml:space="preserve"> </w:t>
            </w:r>
            <w:r>
              <w:rPr>
                <w:rFonts w:hint="default" w:asciiTheme="minorEastAsia" w:hAnsi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vertAlign w:val="baseline"/>
                <w:lang w:val="en-US" w:eastAsia="zh-CN"/>
              </w:rPr>
              <w:t>(40)</w:t>
            </w:r>
            <w:r>
              <w:rPr>
                <w:rFonts w:hint="default" w:asciiTheme="minorEastAsia" w:hAnsi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vertAlign w:val="superscript"/>
                <w:lang w:val="en-US" w:eastAsia="zh-CN"/>
              </w:rPr>
              <w:t>3</w:t>
            </w:r>
          </w:p>
        </w:tc>
        <w:tc>
          <w:tcPr>
            <w:tcW w:w="621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821E66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  <w:t>-0.</w:t>
            </w:r>
            <w:r>
              <w:rPr>
                <w:rFonts w:hint="default" w:asciiTheme="minorEastAsia" w:hAnsi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  <w:t>17</w:t>
            </w:r>
          </w:p>
        </w:tc>
        <w:tc>
          <w:tcPr>
            <w:tcW w:w="11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F00016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621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61D8E2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  <w:t>-</w:t>
            </w:r>
            <w:r>
              <w:rPr>
                <w:rFonts w:hint="default" w:asciiTheme="minorEastAsia" w:hAnsi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  <w:t>2.41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superscript"/>
                <w:lang w:val="en-US" w:eastAsia="zh-CN"/>
              </w:rPr>
              <w:t>*</w:t>
            </w:r>
          </w:p>
        </w:tc>
        <w:tc>
          <w:tcPr>
            <w:tcW w:w="11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4DA01A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682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27867C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Theme="minorEastAsia" w:hAnsi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  <w:t>-2.23</w:t>
            </w:r>
            <w:r>
              <w:rPr>
                <w:rFonts w:hint="default" w:asciiTheme="minorEastAsia" w:hAnsiTheme="minorEastAsia" w:cstheme="minorEastAsia"/>
                <w:b w:val="0"/>
                <w:color w:val="000000"/>
                <w:sz w:val="21"/>
                <w:szCs w:val="21"/>
                <w:vertAlign w:val="superscript"/>
                <w:lang w:val="en-US" w:eastAsia="zh-CN"/>
              </w:rPr>
              <w:t>*</w:t>
            </w:r>
          </w:p>
        </w:tc>
        <w:tc>
          <w:tcPr>
            <w:tcW w:w="61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8F4C32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39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20E42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66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C96EFC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59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F953F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41008136">
        <w:tc>
          <w:tcPr>
            <w:tcW w:w="559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7F63243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i/>
                <w:iCs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/>
                <w:iCs/>
                <w:color w:val="000000"/>
                <w:sz w:val="21"/>
                <w:szCs w:val="21"/>
                <w:vertAlign w:val="baseline"/>
                <w:lang w:val="en-US" w:eastAsia="zh-CN"/>
              </w:rPr>
              <w:t>p</w:t>
            </w:r>
          </w:p>
        </w:tc>
        <w:tc>
          <w:tcPr>
            <w:tcW w:w="621" w:type="pct"/>
            <w:gridSpan w:val="2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1D8CFEF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  <w:t>.</w:t>
            </w:r>
            <w:r>
              <w:rPr>
                <w:rFonts w:hint="default" w:asciiTheme="minorEastAsia" w:hAnsi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  <w:t>870</w:t>
            </w:r>
          </w:p>
        </w:tc>
        <w:tc>
          <w:tcPr>
            <w:tcW w:w="117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53BEC74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621" w:type="pct"/>
            <w:gridSpan w:val="2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7D07503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  <w:t>.</w:t>
            </w:r>
            <w:r>
              <w:rPr>
                <w:rFonts w:hint="default" w:asciiTheme="minorEastAsia" w:hAnsi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  <w:t>021</w:t>
            </w:r>
          </w:p>
        </w:tc>
        <w:tc>
          <w:tcPr>
            <w:tcW w:w="117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7B0227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682" w:type="pct"/>
            <w:gridSpan w:val="2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3328870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Theme="minorEastAsia" w:hAnsi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  <w:t>.031</w:t>
            </w:r>
          </w:p>
        </w:tc>
        <w:tc>
          <w:tcPr>
            <w:tcW w:w="618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38BE1B1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399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0BA98C7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665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2591BCC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595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0DF43CB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</w:p>
        </w:tc>
      </w:tr>
    </w:tbl>
    <w:p w14:paraId="34DA1A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textAlignment w:val="auto"/>
        <w:rPr>
          <w:rFonts w:hint="default" w:asciiTheme="minorEastAsia" w:hAnsiTheme="minorEastAsia" w:cstheme="minorEastAsia"/>
          <w:sz w:val="21"/>
          <w:szCs w:val="21"/>
          <w:lang w:val="en-US" w:eastAsia="zh-CN"/>
        </w:rPr>
      </w:pPr>
      <w:r>
        <w:rPr>
          <w:rFonts w:hint="default" w:asciiTheme="minorEastAsia" w:hAnsiTheme="minorEastAsia" w:cstheme="minorEastAsia"/>
          <w:sz w:val="21"/>
          <w:szCs w:val="21"/>
          <w:lang w:val="en-US" w:eastAsia="zh-CN"/>
        </w:rPr>
        <w:t xml:space="preserve">Note. </w:t>
      </w:r>
      <w:r>
        <w:rPr>
          <w:rFonts w:hint="eastAsia" w:asciiTheme="minorEastAsia" w:hAnsiTheme="minorEastAsia" w:eastAsiaTheme="minorEastAsia" w:cstheme="minorEastAsia"/>
          <w:sz w:val="21"/>
          <w:szCs w:val="21"/>
          <w:vertAlign w:val="superscript"/>
          <w:lang w:val="en-US" w:eastAsia="zh-CN"/>
        </w:rPr>
        <w:t>1</w:t>
      </w:r>
      <w:r>
        <w:rPr>
          <w:rFonts w:hint="default" w:asciiTheme="minorEastAsia" w:hAnsiTheme="minorEastAsia" w:cstheme="minorEastAsia"/>
          <w:sz w:val="21"/>
          <w:szCs w:val="21"/>
          <w:lang w:val="en-US" w:eastAsia="zh-CN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Cohen</w:t>
      </w:r>
      <w:r>
        <w:rPr>
          <w:rFonts w:hint="default" w:asciiTheme="minorEastAsia" w:hAnsiTheme="minorEastAsia" w:cstheme="minorEastAsia"/>
          <w:sz w:val="21"/>
          <w:szCs w:val="21"/>
          <w:lang w:val="en-US" w:eastAsia="zh-CN"/>
        </w:rPr>
        <w:t>'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 xml:space="preserve">s </w:t>
      </w:r>
      <w:r>
        <w:rPr>
          <w:rFonts w:hint="eastAsia" w:asciiTheme="minorEastAsia" w:hAnsiTheme="minorEastAsia" w:eastAsiaTheme="minorEastAsia" w:cstheme="minorEastAsia"/>
          <w:i/>
          <w:iCs/>
          <w:sz w:val="21"/>
          <w:szCs w:val="21"/>
          <w:lang w:val="en-US" w:eastAsia="zh-CN"/>
        </w:rPr>
        <w:t>d</w:t>
      </w:r>
      <w:r>
        <w:rPr>
          <w:rFonts w:hint="default" w:asciiTheme="minorEastAsia" w:hAnsiTheme="minorEastAsia" w:cstheme="minorEastAsia"/>
          <w:i w:val="0"/>
          <w:iCs w:val="0"/>
          <w:sz w:val="21"/>
          <w:szCs w:val="21"/>
          <w:lang w:val="en-US" w:eastAsia="zh-CN"/>
        </w:rPr>
        <w:t xml:space="preserve">, 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Small Effect-Size:</w:t>
      </w:r>
      <w:r>
        <w:rPr>
          <w:rFonts w:hint="default" w:asciiTheme="minorEastAsia" w:hAnsiTheme="minorEastAsia" w:cstheme="minorEastAsia"/>
          <w:sz w:val="21"/>
          <w:szCs w:val="21"/>
          <w:lang w:val="en-US" w:eastAsia="zh-CN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0.2</w:t>
      </w:r>
      <w:r>
        <w:rPr>
          <w:rFonts w:hint="default" w:asciiTheme="minorEastAsia" w:hAnsiTheme="minorEastAsia" w:cstheme="minorEastAsia"/>
          <w:sz w:val="21"/>
          <w:szCs w:val="21"/>
          <w:lang w:val="en-US" w:eastAsia="zh-CN"/>
        </w:rPr>
        <w:t xml:space="preserve">, 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Medium Effect-Size:</w:t>
      </w:r>
      <w:r>
        <w:rPr>
          <w:rFonts w:hint="default" w:asciiTheme="minorEastAsia" w:hAnsiTheme="minorEastAsia" w:cstheme="minorEastAsia"/>
          <w:sz w:val="21"/>
          <w:szCs w:val="21"/>
          <w:lang w:val="en-US" w:eastAsia="zh-CN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0.5</w:t>
      </w:r>
      <w:r>
        <w:rPr>
          <w:rFonts w:hint="default" w:asciiTheme="minorEastAsia" w:hAnsiTheme="minorEastAsia" w:cstheme="minorEastAsia"/>
          <w:sz w:val="21"/>
          <w:szCs w:val="21"/>
          <w:lang w:val="en-US" w:eastAsia="zh-CN"/>
        </w:rPr>
        <w:t xml:space="preserve">, 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Large Effect-Size:</w:t>
      </w:r>
      <w:r>
        <w:rPr>
          <w:rFonts w:hint="default" w:asciiTheme="minorEastAsia" w:hAnsiTheme="minorEastAsia" w:cstheme="minorEastAsia"/>
          <w:sz w:val="21"/>
          <w:szCs w:val="21"/>
          <w:lang w:val="en-US" w:eastAsia="zh-CN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0.8</w:t>
      </w:r>
      <w:r>
        <w:rPr>
          <w:rFonts w:hint="default" w:asciiTheme="minorEastAsia" w:hAnsiTheme="minorEastAsia" w:cstheme="minorEastAsia"/>
          <w:sz w:val="21"/>
          <w:szCs w:val="21"/>
          <w:lang w:val="en-US" w:eastAsia="zh-CN"/>
        </w:rPr>
        <w:t xml:space="preserve">. </w:t>
      </w:r>
      <w:r>
        <w:rPr>
          <w:rFonts w:hint="default" w:asciiTheme="minorEastAsia" w:hAnsiTheme="minorEastAsia" w:cstheme="minorEastAsia"/>
          <w:sz w:val="21"/>
          <w:szCs w:val="21"/>
          <w:vertAlign w:val="superscript"/>
          <w:lang w:val="en-US" w:eastAsia="zh-CN"/>
        </w:rPr>
        <w:t>2</w:t>
      </w:r>
      <w:r>
        <w:rPr>
          <w:rFonts w:hint="default" w:asciiTheme="minorEastAsia" w:hAnsiTheme="minorEastAsia" w:cstheme="minorEastAsia"/>
          <w:sz w:val="21"/>
          <w:szCs w:val="21"/>
          <w:lang w:val="en-US" w:eastAsia="zh-CN"/>
        </w:rPr>
        <w:t xml:space="preserve"> Pared t-Tests(Within-Group Comparisons). </w:t>
      </w:r>
      <w:r>
        <w:rPr>
          <w:rFonts w:hint="default" w:asciiTheme="minorEastAsia" w:hAnsiTheme="minorEastAsia" w:cstheme="minorEastAsia"/>
          <w:sz w:val="21"/>
          <w:szCs w:val="21"/>
          <w:vertAlign w:val="superscript"/>
          <w:lang w:val="en-US" w:eastAsia="zh-CN"/>
        </w:rPr>
        <w:t>3</w:t>
      </w:r>
      <w:r>
        <w:rPr>
          <w:rFonts w:hint="default" w:asciiTheme="minorEastAsia" w:hAnsiTheme="minorEastAsia" w:cstheme="minorEastAsia"/>
          <w:sz w:val="21"/>
          <w:szCs w:val="21"/>
          <w:lang w:val="en-US" w:eastAsia="zh-CN"/>
        </w:rPr>
        <w:t xml:space="preserve"> Independent t-Tests(Between-Group Comparisons). </w:t>
      </w:r>
      <w:r>
        <w:rPr>
          <w:rFonts w:hint="default" w:asciiTheme="minorEastAsia" w:hAnsiTheme="minorEastAsia" w:cstheme="minorEastAsia"/>
          <w:b w:val="0"/>
          <w:color w:val="000000"/>
          <w:sz w:val="21"/>
          <w:szCs w:val="21"/>
          <w:vertAlign w:val="superscript"/>
          <w:lang w:val="en-US" w:eastAsia="zh-CN"/>
        </w:rPr>
        <w:t xml:space="preserve">4 </w:t>
      </w:r>
      <w:r>
        <w:rPr>
          <w:rFonts w:hint="default" w:asciiTheme="minorEastAsia" w:hAnsiTheme="minorEastAsia" w:cstheme="minorEastAsia"/>
          <w:b w:val="0"/>
          <w:color w:val="000000"/>
          <w:sz w:val="21"/>
          <w:szCs w:val="21"/>
          <w:vertAlign w:val="baseline"/>
          <w:lang w:val="en-US" w:eastAsia="zh-CN"/>
        </w:rPr>
        <w:t xml:space="preserve">Negative change scores indicate improved performance(Post - Pre). </w:t>
      </w:r>
      <w:r>
        <w:rPr>
          <w:rFonts w:hint="eastAsia" w:asciiTheme="minorEastAsia" w:hAnsiTheme="minorEastAsia" w:eastAsiaTheme="minorEastAsia" w:cstheme="minorEastAsia"/>
          <w:sz w:val="21"/>
          <w:szCs w:val="21"/>
          <w:vertAlign w:val="superscript"/>
          <w:lang w:val="en-US" w:eastAsia="zh-CN"/>
        </w:rPr>
        <w:t>*</w:t>
      </w:r>
      <w:r>
        <w:rPr>
          <w:rFonts w:hint="default" w:asciiTheme="minorEastAsia" w:hAnsiTheme="minorEastAsia" w:cstheme="minorEastAsia"/>
          <w:sz w:val="21"/>
          <w:szCs w:val="21"/>
          <w:vertAlign w:val="baseline"/>
          <w:lang w:val="en-US" w:eastAsia="zh-CN"/>
        </w:rPr>
        <w:t xml:space="preserve"> </w:t>
      </w:r>
      <w:r>
        <w:rPr>
          <w:rFonts w:hint="default" w:asciiTheme="minorEastAsia" w:hAnsiTheme="minorEastAsia" w:cstheme="minorEastAsia"/>
          <w:i/>
          <w:iCs/>
          <w:sz w:val="21"/>
          <w:szCs w:val="21"/>
          <w:vertAlign w:val="baseline"/>
          <w:lang w:val="en-US" w:eastAsia="zh-CN"/>
        </w:rPr>
        <w:t xml:space="preserve">p </w:t>
      </w:r>
      <w:r>
        <w:rPr>
          <w:rFonts w:hint="default" w:asciiTheme="minorEastAsia" w:hAnsiTheme="minorEastAsia" w:cstheme="minorEastAsia"/>
          <w:sz w:val="21"/>
          <w:szCs w:val="21"/>
          <w:vertAlign w:val="baseline"/>
          <w:lang w:val="en-US" w:eastAsia="zh-CN"/>
        </w:rPr>
        <w:t xml:space="preserve">&lt; .05, </w:t>
      </w:r>
      <w:r>
        <w:rPr>
          <w:rFonts w:hint="eastAsia" w:asciiTheme="minorEastAsia" w:hAnsiTheme="minorEastAsia" w:eastAsiaTheme="minorEastAsia" w:cstheme="minorEastAsia"/>
          <w:sz w:val="21"/>
          <w:szCs w:val="21"/>
          <w:vertAlign w:val="superscript"/>
          <w:lang w:val="en-US" w:eastAsia="zh-CN"/>
        </w:rPr>
        <w:t>**</w:t>
      </w:r>
      <w:r>
        <w:rPr>
          <w:rFonts w:hint="default" w:asciiTheme="minorEastAsia" w:hAnsiTheme="minorEastAsia" w:cstheme="minorEastAsia"/>
          <w:sz w:val="21"/>
          <w:szCs w:val="21"/>
          <w:vertAlign w:val="baseline"/>
          <w:lang w:val="en-US" w:eastAsia="zh-CN"/>
        </w:rPr>
        <w:t xml:space="preserve"> </w:t>
      </w:r>
      <w:r>
        <w:rPr>
          <w:rFonts w:hint="default" w:asciiTheme="minorEastAsia" w:hAnsiTheme="minorEastAsia" w:cstheme="minorEastAsia"/>
          <w:i/>
          <w:iCs/>
          <w:sz w:val="21"/>
          <w:szCs w:val="21"/>
          <w:vertAlign w:val="baseline"/>
          <w:lang w:val="en-US" w:eastAsia="zh-CN"/>
        </w:rPr>
        <w:t xml:space="preserve">p </w:t>
      </w:r>
      <w:r>
        <w:rPr>
          <w:rFonts w:hint="default" w:asciiTheme="minorEastAsia" w:hAnsiTheme="minorEastAsia" w:cstheme="minorEastAsia"/>
          <w:sz w:val="21"/>
          <w:szCs w:val="21"/>
          <w:vertAlign w:val="baseline"/>
          <w:lang w:val="en-US" w:eastAsia="zh-CN"/>
        </w:rPr>
        <w:t xml:space="preserve">&lt; .01, </w:t>
      </w:r>
      <w:r>
        <w:rPr>
          <w:rFonts w:hint="eastAsia" w:asciiTheme="minorEastAsia" w:hAnsiTheme="minorEastAsia" w:eastAsiaTheme="minorEastAsia" w:cstheme="minorEastAsia"/>
          <w:sz w:val="21"/>
          <w:szCs w:val="21"/>
          <w:vertAlign w:val="superscript"/>
          <w:lang w:val="en-US" w:eastAsia="zh-CN"/>
        </w:rPr>
        <w:t>***</w:t>
      </w:r>
      <w:r>
        <w:rPr>
          <w:rFonts w:hint="default" w:asciiTheme="minorEastAsia" w:hAnsiTheme="minorEastAsia" w:cstheme="minorEastAsia"/>
          <w:sz w:val="21"/>
          <w:szCs w:val="21"/>
          <w:lang w:val="en-US" w:eastAsia="zh-CN"/>
        </w:rPr>
        <w:t xml:space="preserve"> </w:t>
      </w:r>
      <w:r>
        <w:rPr>
          <w:rFonts w:hint="eastAsia" w:asciiTheme="minorEastAsia" w:hAnsiTheme="minorEastAsia" w:eastAsiaTheme="minorEastAsia" w:cstheme="minorEastAsia"/>
          <w:i/>
          <w:iCs/>
          <w:sz w:val="21"/>
          <w:szCs w:val="21"/>
          <w:lang w:val="en-US" w:eastAsia="zh-CN"/>
        </w:rPr>
        <w:t>p</w:t>
      </w:r>
      <w:r>
        <w:rPr>
          <w:rFonts w:hint="default" w:asciiTheme="minorEastAsia" w:hAnsiTheme="minorEastAsia" w:cstheme="minorEastAsia"/>
          <w:i/>
          <w:iCs/>
          <w:sz w:val="21"/>
          <w:szCs w:val="21"/>
          <w:lang w:val="en-US" w:eastAsia="zh-CN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&lt;</w:t>
      </w:r>
      <w:r>
        <w:rPr>
          <w:rFonts w:hint="default" w:asciiTheme="minorEastAsia" w:hAnsiTheme="minorEastAsia" w:cstheme="minorEastAsia"/>
          <w:sz w:val="21"/>
          <w:szCs w:val="21"/>
          <w:lang w:val="en-US" w:eastAsia="zh-CN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.001</w:t>
      </w:r>
      <w:r>
        <w:rPr>
          <w:rFonts w:hint="default" w:asciiTheme="minorEastAsia" w:hAnsiTheme="minorEastAsia" w:cstheme="minorEastAsia"/>
          <w:sz w:val="21"/>
          <w:szCs w:val="21"/>
          <w:lang w:val="en-US" w:eastAsia="zh-CN"/>
        </w:rPr>
        <w:t>.</w:t>
      </w:r>
    </w:p>
    <w:p w14:paraId="5C1041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jc w:val="right"/>
        <w:textAlignment w:val="auto"/>
        <w:rPr>
          <w:rFonts w:hint="default" w:asciiTheme="minorEastAsia" w:hAnsiTheme="minorEastAsia" w:cstheme="minorEastAsia"/>
          <w:sz w:val="21"/>
          <w:szCs w:val="21"/>
          <w:lang w:val="en-US" w:eastAsia="zh-CN"/>
        </w:rPr>
      </w:pPr>
      <w:r>
        <w:rPr>
          <w:rFonts w:hint="default" w:asciiTheme="minorEastAsia" w:hAnsiTheme="minorEastAsia" w:cstheme="minorEastAsia"/>
          <w:sz w:val="21"/>
          <w:szCs w:val="21"/>
          <w:lang w:val="en-US" w:eastAsia="zh-CN"/>
        </w:rPr>
        <w:t>(DataSet: t检验案例数据集_CHG_Sig.sav)</w:t>
      </w:r>
    </w:p>
    <w:p w14:paraId="7853E1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jc w:val="right"/>
        <w:textAlignment w:val="auto"/>
        <w:rPr>
          <w:rFonts w:hint="default" w:asciiTheme="minorEastAsia" w:hAnsiTheme="minorEastAsia" w:cstheme="minorEastAsia"/>
          <w:sz w:val="21"/>
          <w:szCs w:val="21"/>
          <w:lang w:val="en-US" w:eastAsia="zh-CN"/>
        </w:rPr>
        <w:sectPr>
          <w:pgSz w:w="16838" w:h="11906" w:orient="landscape"/>
          <w:pgMar w:top="1800" w:right="1440" w:bottom="1800" w:left="1440" w:header="851" w:footer="992" w:gutter="0"/>
          <w:cols w:space="425" w:num="1"/>
          <w:docGrid w:type="lines" w:linePitch="312" w:charSpace="0"/>
        </w:sectPr>
      </w:pPr>
    </w:p>
    <w:p w14:paraId="0E2AED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ind w:firstLine="0" w:firstLineChars="0"/>
        <w:jc w:val="center"/>
        <w:textAlignment w:val="auto"/>
      </w:pPr>
    </w:p>
    <w:p w14:paraId="108FEF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ind w:firstLine="0" w:firstLineChars="0"/>
        <w:jc w:val="center"/>
        <w:textAlignment w:val="auto"/>
      </w:pPr>
      <w:r>
        <w:drawing>
          <wp:inline distT="0" distB="0" distL="114300" distR="114300">
            <wp:extent cx="4427220" cy="2956560"/>
            <wp:effectExtent l="0" t="0" r="17780" b="15240"/>
            <wp:docPr id="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27220" cy="2956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56D6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ind w:firstLine="0" w:firstLineChars="0"/>
        <w:jc w:val="center"/>
        <w:textAlignment w:val="auto"/>
      </w:pPr>
    </w:p>
    <w:p w14:paraId="4AF5C3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ind w:firstLine="0" w:firstLineChars="0"/>
        <w:jc w:val="center"/>
        <w:textAlignment w:val="auto"/>
      </w:pPr>
      <w:r>
        <w:drawing>
          <wp:inline distT="0" distB="0" distL="114300" distR="114300">
            <wp:extent cx="4485640" cy="3117215"/>
            <wp:effectExtent l="0" t="0" r="10160" b="6985"/>
            <wp:docPr id="8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85640" cy="3117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FB796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  <w:bookmarkStart w:id="0" w:name="_GoBack"/>
      <w:bookmarkEnd w:id="0"/>
    </w:p>
    <w:p w14:paraId="773A234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ind w:firstLine="420" w:firstLineChars="200"/>
        <w:jc w:val="left"/>
        <w:textAlignment w:val="auto"/>
        <w:rPr>
          <w:rFonts w:hint="default" w:asciiTheme="minorEastAsia" w:hAnsiTheme="minorEastAsia" w:cstheme="minorEastAsia"/>
          <w:sz w:val="21"/>
          <w:szCs w:val="21"/>
          <w:lang w:val="en-US" w:eastAsia="zh-CN"/>
        </w:rPr>
      </w:pPr>
      <w:r>
        <w:rPr>
          <w:rFonts w:hint="default" w:asciiTheme="minorEastAsia" w:hAnsiTheme="minorEastAsia" w:cstheme="minorEastAsia"/>
          <w:sz w:val="21"/>
          <w:szCs w:val="21"/>
          <w:lang w:val="en-US" w:eastAsia="zh-CN"/>
        </w:rPr>
        <w:t>实验组与对照组在50米短跑成绩上的前后测对比分析结果如表1所示。实验干预实施前，实验组与对照组的50米跑成绩分别为（8.70±1.11）秒与（8.75±0.91）秒，经独立样本</w:t>
      </w:r>
      <w:r>
        <w:rPr>
          <w:rFonts w:hint="default" w:asciiTheme="minorEastAsia" w:hAnsiTheme="minorEastAsia" w:cstheme="minorEastAsia"/>
          <w:i/>
          <w:iCs w:val="0"/>
          <w:sz w:val="21"/>
          <w:szCs w:val="21"/>
          <w:lang w:val="en-US" w:eastAsia="zh-CN"/>
        </w:rPr>
        <w:t>t</w:t>
      </w:r>
      <w:r>
        <w:rPr>
          <w:rFonts w:hint="default" w:asciiTheme="minorEastAsia" w:hAnsiTheme="minorEastAsia" w:cstheme="minorEastAsia"/>
          <w:sz w:val="21"/>
          <w:szCs w:val="21"/>
          <w:lang w:val="en-US" w:eastAsia="zh-CN"/>
        </w:rPr>
        <w:t>检验，两组前测成绩无统计学显著差异（</w:t>
      </w:r>
      <w:r>
        <w:rPr>
          <w:rFonts w:hint="default" w:asciiTheme="minorEastAsia" w:hAnsiTheme="minorEastAsia" w:cstheme="minorEastAsia"/>
          <w:i/>
          <w:iCs w:val="0"/>
          <w:sz w:val="21"/>
          <w:szCs w:val="21"/>
          <w:lang w:val="en-US" w:eastAsia="zh-CN"/>
        </w:rPr>
        <w:t xml:space="preserve">t </w:t>
      </w:r>
      <w:r>
        <w:rPr>
          <w:rFonts w:hint="default" w:asciiTheme="minorEastAsia" w:hAnsiTheme="minorEastAsia" w:cstheme="minorEastAsia"/>
          <w:sz w:val="21"/>
          <w:szCs w:val="21"/>
          <w:lang w:val="en-US" w:eastAsia="zh-CN"/>
        </w:rPr>
        <w:t>= -0.17，</w:t>
      </w:r>
      <w:r>
        <w:rPr>
          <w:rFonts w:hint="default" w:asciiTheme="minorEastAsia" w:hAnsiTheme="minorEastAsia" w:cstheme="minorEastAsia"/>
          <w:i/>
          <w:iCs w:val="0"/>
          <w:sz w:val="21"/>
          <w:szCs w:val="21"/>
          <w:lang w:val="en-US" w:eastAsia="zh-CN"/>
        </w:rPr>
        <w:t xml:space="preserve">p </w:t>
      </w:r>
      <w:r>
        <w:rPr>
          <w:rFonts w:hint="default" w:asciiTheme="minorEastAsia" w:hAnsiTheme="minorEastAsia" w:cstheme="minorEastAsia"/>
          <w:sz w:val="21"/>
          <w:szCs w:val="21"/>
          <w:lang w:val="en-US" w:eastAsia="zh-CN"/>
        </w:rPr>
        <w:t>= .870），满足后续组间效果比较的前提条件。经前后测配对样本</w:t>
      </w:r>
      <w:r>
        <w:rPr>
          <w:rFonts w:hint="default" w:asciiTheme="minorEastAsia" w:hAnsiTheme="minorEastAsia" w:cstheme="minorEastAsia"/>
          <w:i/>
          <w:iCs w:val="0"/>
          <w:sz w:val="21"/>
          <w:szCs w:val="21"/>
          <w:lang w:val="en-US" w:eastAsia="zh-CN"/>
        </w:rPr>
        <w:t>t</w:t>
      </w:r>
      <w:r>
        <w:rPr>
          <w:rFonts w:hint="default" w:asciiTheme="minorEastAsia" w:hAnsiTheme="minorEastAsia" w:cstheme="minorEastAsia"/>
          <w:sz w:val="21"/>
          <w:szCs w:val="21"/>
          <w:lang w:val="en-US" w:eastAsia="zh-CN"/>
        </w:rPr>
        <w:t>检验，实验组干预后的成绩（7.49±0.97秒）较干预前显著提升，差异具有高度统计学意义（</w:t>
      </w:r>
      <w:r>
        <w:rPr>
          <w:rFonts w:hint="default" w:asciiTheme="minorEastAsia" w:hAnsiTheme="minorEastAsia" w:cstheme="minorEastAsia"/>
          <w:i/>
          <w:iCs w:val="0"/>
          <w:sz w:val="21"/>
          <w:szCs w:val="21"/>
          <w:lang w:val="en-US" w:eastAsia="zh-CN"/>
        </w:rPr>
        <w:t xml:space="preserve">t </w:t>
      </w:r>
      <w:r>
        <w:rPr>
          <w:rFonts w:hint="default" w:asciiTheme="minorEastAsia" w:hAnsiTheme="minorEastAsia" w:cstheme="minorEastAsia"/>
          <w:sz w:val="21"/>
          <w:szCs w:val="21"/>
          <w:lang w:val="en-US" w:eastAsia="zh-CN"/>
        </w:rPr>
        <w:t>= 5.98，</w:t>
      </w:r>
      <w:r>
        <w:rPr>
          <w:rFonts w:hint="default" w:asciiTheme="minorEastAsia" w:hAnsiTheme="minorEastAsia" w:cstheme="minorEastAsia"/>
          <w:i/>
          <w:iCs w:val="0"/>
          <w:sz w:val="21"/>
          <w:szCs w:val="21"/>
          <w:lang w:val="en-US" w:eastAsia="zh-CN"/>
        </w:rPr>
        <w:t xml:space="preserve">p </w:t>
      </w:r>
      <w:r>
        <w:rPr>
          <w:rFonts w:hint="default" w:asciiTheme="minorEastAsia" w:hAnsiTheme="minorEastAsia" w:cstheme="minorEastAsia"/>
          <w:sz w:val="21"/>
          <w:szCs w:val="21"/>
          <w:lang w:val="en-US" w:eastAsia="zh-CN"/>
        </w:rPr>
        <w:t xml:space="preserve">&lt; .001），效应量Cohen’s </w:t>
      </w:r>
      <w:r>
        <w:rPr>
          <w:rFonts w:hint="default" w:asciiTheme="minorEastAsia" w:hAnsiTheme="minorEastAsia" w:cstheme="minorEastAsia"/>
          <w:i/>
          <w:iCs w:val="0"/>
          <w:sz w:val="21"/>
          <w:szCs w:val="21"/>
          <w:lang w:val="en-US" w:eastAsia="zh-CN"/>
        </w:rPr>
        <w:t xml:space="preserve">d </w:t>
      </w:r>
      <w:r>
        <w:rPr>
          <w:rFonts w:hint="default" w:asciiTheme="minorEastAsia" w:hAnsiTheme="minorEastAsia" w:cstheme="minorEastAsia"/>
          <w:sz w:val="21"/>
          <w:szCs w:val="21"/>
          <w:lang w:val="en-US" w:eastAsia="zh-CN"/>
        </w:rPr>
        <w:t>= 1.31，属于大效应量，表明实验干预不仅具有统计显著性，更对成绩提升产生了实际意义较大的积极影响；对照组干预后成绩（8.12±0.69秒）亦较干预前有显著提升（</w:t>
      </w:r>
      <w:r>
        <w:rPr>
          <w:rFonts w:hint="default" w:asciiTheme="minorEastAsia" w:hAnsiTheme="minorEastAsia" w:cstheme="minorEastAsia"/>
          <w:i/>
          <w:iCs w:val="0"/>
          <w:sz w:val="21"/>
          <w:szCs w:val="21"/>
          <w:lang w:val="en-US" w:eastAsia="zh-CN"/>
        </w:rPr>
        <w:t xml:space="preserve">t </w:t>
      </w:r>
      <w:r>
        <w:rPr>
          <w:rFonts w:hint="default" w:asciiTheme="minorEastAsia" w:hAnsiTheme="minorEastAsia" w:cstheme="minorEastAsia"/>
          <w:sz w:val="21"/>
          <w:szCs w:val="21"/>
          <w:lang w:val="en-US" w:eastAsia="zh-CN"/>
        </w:rPr>
        <w:t>= 3.94，</w:t>
      </w:r>
      <w:r>
        <w:rPr>
          <w:rFonts w:hint="default" w:asciiTheme="minorEastAsia" w:hAnsiTheme="minorEastAsia" w:cstheme="minorEastAsia"/>
          <w:i/>
          <w:iCs/>
          <w:sz w:val="21"/>
          <w:szCs w:val="21"/>
          <w:lang w:val="en-US" w:eastAsia="zh-CN"/>
        </w:rPr>
        <w:t xml:space="preserve">p </w:t>
      </w:r>
      <w:r>
        <w:rPr>
          <w:rFonts w:hint="default" w:asciiTheme="minorEastAsia" w:hAnsiTheme="minorEastAsia" w:cstheme="minorEastAsia"/>
          <w:sz w:val="21"/>
          <w:szCs w:val="21"/>
          <w:lang w:val="en-US" w:eastAsia="zh-CN"/>
        </w:rPr>
        <w:t>&lt; .001），但效应量（</w:t>
      </w:r>
      <w:r>
        <w:rPr>
          <w:rFonts w:hint="default" w:asciiTheme="minorEastAsia" w:hAnsiTheme="minorEastAsia" w:cstheme="minorEastAsia"/>
          <w:i/>
          <w:iCs/>
          <w:sz w:val="21"/>
          <w:szCs w:val="21"/>
          <w:lang w:val="en-US" w:eastAsia="zh-CN"/>
        </w:rPr>
        <w:t xml:space="preserve">d </w:t>
      </w:r>
      <w:r>
        <w:rPr>
          <w:rFonts w:hint="default" w:asciiTheme="minorEastAsia" w:hAnsiTheme="minorEastAsia" w:cstheme="minorEastAsia"/>
          <w:sz w:val="21"/>
          <w:szCs w:val="21"/>
          <w:lang w:val="en-US" w:eastAsia="zh-CN"/>
        </w:rPr>
        <w:t>= 0.86）虽为大效应量，仍低于实验组。进一步对两组后测成绩进行独立样本</w:t>
      </w:r>
      <w:r>
        <w:rPr>
          <w:rFonts w:hint="default" w:asciiTheme="minorEastAsia" w:hAnsiTheme="minorEastAsia" w:cstheme="minorEastAsia"/>
          <w:i/>
          <w:iCs w:val="0"/>
          <w:sz w:val="21"/>
          <w:szCs w:val="21"/>
          <w:lang w:val="en-US" w:eastAsia="zh-CN"/>
        </w:rPr>
        <w:t>t</w:t>
      </w:r>
      <w:r>
        <w:rPr>
          <w:rFonts w:hint="default" w:asciiTheme="minorEastAsia" w:hAnsiTheme="minorEastAsia" w:cstheme="minorEastAsia"/>
          <w:sz w:val="21"/>
          <w:szCs w:val="21"/>
          <w:lang w:val="en-US" w:eastAsia="zh-CN"/>
        </w:rPr>
        <w:t>检验，结果显示，实验组的后测成绩显著优于对照组，差异具有统计学意义（</w:t>
      </w:r>
      <w:r>
        <w:rPr>
          <w:rFonts w:hint="default" w:asciiTheme="minorEastAsia" w:hAnsiTheme="minorEastAsia" w:cstheme="minorEastAsia"/>
          <w:i/>
          <w:iCs w:val="0"/>
          <w:sz w:val="21"/>
          <w:szCs w:val="21"/>
          <w:lang w:val="en-US" w:eastAsia="zh-CN"/>
        </w:rPr>
        <w:t xml:space="preserve">t </w:t>
      </w:r>
      <w:r>
        <w:rPr>
          <w:rFonts w:hint="default" w:asciiTheme="minorEastAsia" w:hAnsiTheme="minorEastAsia" w:cstheme="minorEastAsia"/>
          <w:sz w:val="21"/>
          <w:szCs w:val="21"/>
          <w:lang w:val="en-US" w:eastAsia="zh-CN"/>
        </w:rPr>
        <w:t>= -2.41，</w:t>
      </w:r>
      <w:r>
        <w:rPr>
          <w:rFonts w:hint="default" w:asciiTheme="minorEastAsia" w:hAnsiTheme="minorEastAsia" w:cstheme="minorEastAsia"/>
          <w:i/>
          <w:iCs/>
          <w:sz w:val="21"/>
          <w:szCs w:val="21"/>
          <w:lang w:val="en-US" w:eastAsia="zh-CN"/>
        </w:rPr>
        <w:t xml:space="preserve">p </w:t>
      </w:r>
      <w:r>
        <w:rPr>
          <w:rFonts w:hint="default" w:asciiTheme="minorEastAsia" w:hAnsiTheme="minorEastAsia" w:cstheme="minorEastAsia"/>
          <w:sz w:val="21"/>
          <w:szCs w:val="21"/>
          <w:lang w:val="en-US" w:eastAsia="zh-CN"/>
        </w:rPr>
        <w:t>= .021）。同时，对两组前后测变化值进行比较，实验组成绩提升幅度显著大于对照组（</w:t>
      </w:r>
      <w:r>
        <w:rPr>
          <w:rFonts w:hint="default" w:asciiTheme="minorEastAsia" w:hAnsiTheme="minorEastAsia" w:cstheme="minorEastAsia"/>
          <w:i/>
          <w:iCs w:val="0"/>
          <w:sz w:val="21"/>
          <w:szCs w:val="21"/>
          <w:lang w:val="en-US" w:eastAsia="zh-CN"/>
        </w:rPr>
        <w:t xml:space="preserve">t </w:t>
      </w:r>
      <w:r>
        <w:rPr>
          <w:rFonts w:hint="default" w:asciiTheme="minorEastAsia" w:hAnsiTheme="minorEastAsia" w:cstheme="minorEastAsia"/>
          <w:sz w:val="21"/>
          <w:szCs w:val="21"/>
          <w:lang w:val="en-US" w:eastAsia="zh-CN"/>
        </w:rPr>
        <w:t>= -2.23，</w:t>
      </w:r>
      <w:r>
        <w:rPr>
          <w:rFonts w:hint="default" w:asciiTheme="minorEastAsia" w:hAnsiTheme="minorEastAsia" w:cstheme="minorEastAsia"/>
          <w:i/>
          <w:iCs/>
          <w:sz w:val="21"/>
          <w:szCs w:val="21"/>
          <w:lang w:val="en-US" w:eastAsia="zh-CN"/>
        </w:rPr>
        <w:t xml:space="preserve">p </w:t>
      </w:r>
      <w:r>
        <w:rPr>
          <w:rFonts w:hint="default" w:asciiTheme="minorEastAsia" w:hAnsiTheme="minorEastAsia" w:cstheme="minorEastAsia"/>
          <w:sz w:val="21"/>
          <w:szCs w:val="21"/>
          <w:lang w:val="en-US" w:eastAsia="zh-CN"/>
        </w:rPr>
        <w:t>= .031）。以上结果共同表明，实验干预对50米短跑成绩具有显著且优于自然练习效果的正向影响。</w:t>
      </w:r>
    </w:p>
    <w:p w14:paraId="7670DDD7">
      <w:pPr>
        <w:rPr>
          <w:rFonts w:hint="default" w:asciiTheme="minorEastAsia" w:hAnsiTheme="minorEastAsia" w:cstheme="minorEastAsia"/>
          <w:sz w:val="21"/>
          <w:szCs w:val="21"/>
          <w:lang w:val="en-US" w:eastAsia="zh-CN"/>
        </w:rPr>
      </w:pPr>
      <w:r>
        <w:rPr>
          <w:rFonts w:hint="default" w:asciiTheme="minorEastAsia" w:hAnsiTheme="minorEastAsia" w:cstheme="minorEastAsia"/>
          <w:sz w:val="21"/>
          <w:szCs w:val="21"/>
          <w:lang w:val="en-US" w:eastAsia="zh-CN"/>
        </w:rPr>
        <w:br w:type="page"/>
      </w:r>
    </w:p>
    <w:p w14:paraId="6DD3DC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ind w:firstLine="420" w:firstLineChars="200"/>
        <w:jc w:val="left"/>
        <w:textAlignment w:val="auto"/>
        <w:rPr>
          <w:rFonts w:hint="default" w:asciiTheme="minorEastAsia" w:hAnsiTheme="minorEastAsia" w:cstheme="minorEastAsia"/>
          <w:sz w:val="21"/>
          <w:szCs w:val="21"/>
          <w:lang w:val="en-US" w:eastAsia="zh-CN"/>
        </w:rPr>
      </w:pPr>
    </w:p>
    <w:p w14:paraId="581FC2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jc w:val="center"/>
        <w:textAlignment w:val="auto"/>
      </w:pPr>
      <w:r>
        <w:drawing>
          <wp:inline distT="0" distB="0" distL="114300" distR="114300">
            <wp:extent cx="4370070" cy="3830320"/>
            <wp:effectExtent l="0" t="0" r="24130" b="508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70070" cy="3830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961C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jc w:val="center"/>
        <w:textAlignment w:val="auto"/>
        <w:rPr>
          <w:rFonts w:hint="eastAsia"/>
          <w:lang w:val="en-US" w:eastAsia="zh-CN"/>
        </w:rPr>
      </w:pPr>
      <w:r>
        <w:drawing>
          <wp:inline distT="0" distB="0" distL="114300" distR="114300">
            <wp:extent cx="4397375" cy="3769995"/>
            <wp:effectExtent l="0" t="0" r="22225" b="14605"/>
            <wp:docPr id="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97375" cy="3769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E8E5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jc w:val="both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【案例：运动教育模式对高中生足球运动技能、体育学习兴趣及团队凝聚力的影响研究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DejaVu Math TeX Gyre">
    <w:panose1 w:val="02000503000000000000"/>
    <w:charset w:val="00"/>
    <w:family w:val="auto"/>
    <w:pitch w:val="default"/>
    <w:sig w:usb0="A10000EF" w:usb1="4201F9EE" w:usb2="02000000" w:usb3="00000000" w:csb0="60000193" w:csb1="0DD4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6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FA2E8C6"/>
    <w:rsid w:val="37EE0270"/>
    <w:rsid w:val="4FA2E8C6"/>
    <w:rsid w:val="52DF87BC"/>
    <w:rsid w:val="5BFCAED5"/>
    <w:rsid w:val="5CEF9715"/>
    <w:rsid w:val="5F396FF1"/>
    <w:rsid w:val="5F648629"/>
    <w:rsid w:val="5F7F6607"/>
    <w:rsid w:val="5F7FEA16"/>
    <w:rsid w:val="6217FDB0"/>
    <w:rsid w:val="66190CD0"/>
    <w:rsid w:val="677B7C73"/>
    <w:rsid w:val="6DFC1ED8"/>
    <w:rsid w:val="6DFF232D"/>
    <w:rsid w:val="6F7B66CA"/>
    <w:rsid w:val="6FEB76E6"/>
    <w:rsid w:val="6FFFB5BB"/>
    <w:rsid w:val="757FC564"/>
    <w:rsid w:val="7DF1FB44"/>
    <w:rsid w:val="7EED4C06"/>
    <w:rsid w:val="7F749098"/>
    <w:rsid w:val="7F7FB51C"/>
    <w:rsid w:val="7FCF3C8D"/>
    <w:rsid w:val="7FDE1B4C"/>
    <w:rsid w:val="7FEA9B65"/>
    <w:rsid w:val="8DF70A6D"/>
    <w:rsid w:val="8EDEF78E"/>
    <w:rsid w:val="9DF7773E"/>
    <w:rsid w:val="AF4F58C7"/>
    <w:rsid w:val="B6DBFDE0"/>
    <w:rsid w:val="BF9FDEAB"/>
    <w:rsid w:val="BFCE6637"/>
    <w:rsid w:val="D6A6A421"/>
    <w:rsid w:val="DB6528E7"/>
    <w:rsid w:val="DBFAED10"/>
    <w:rsid w:val="E6EFD3B6"/>
    <w:rsid w:val="E7EFCB5A"/>
    <w:rsid w:val="EF69792E"/>
    <w:rsid w:val="F347459F"/>
    <w:rsid w:val="F3BF69FD"/>
    <w:rsid w:val="F5BD3B69"/>
    <w:rsid w:val="F7FF004C"/>
    <w:rsid w:val="F7FF5B1D"/>
    <w:rsid w:val="FD163820"/>
    <w:rsid w:val="FF701545"/>
    <w:rsid w:val="FFF5ABA1"/>
    <w:rsid w:val="FFF6900F"/>
    <w:rsid w:val="FFFD1109"/>
    <w:rsid w:val="FFFF9A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1005</Words>
  <Characters>1802</Characters>
  <Lines>0</Lines>
  <Paragraphs>0</Paragraphs>
  <TotalTime>23</TotalTime>
  <ScaleCrop>false</ScaleCrop>
  <LinksUpToDate>false</LinksUpToDate>
  <CharactersWithSpaces>1895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2025-01-02T20:59:00Z</dcterms:created>
  <dc:creator>王宁</dc:creator>
  <cp:lastModifiedBy>王宁</cp:lastModifiedBy>
  <dcterms:modified xsi:type="dcterms:W3CDTF">2026-01-17T14:50:24Z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2052-12.1.24031.24031</vt:lpwstr>
  </property>
  <property fmtid="{D5CDD505-2E9C-101B-9397-08002B2CF9AE}" pid="3" name="ICV">
    <vt:lpwstr>40DF22C3864B3F5A23F66F678F0B0550_41</vt:lpwstr>
  </property>
</Properties>
</file>