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8BE49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Beta &amp; Squared Semi-Parti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al Correlation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&amp; Partial-Eta Squared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  <w:gridCol w:w="4883"/>
      </w:tblGrid>
      <w:tr w14:paraId="3537D851">
        <w:tc>
          <w:tcPr>
            <w:tcW w:w="163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10F94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/>
              </w:rPr>
              <w:t>Beta</w:t>
            </w:r>
          </w:p>
        </w:tc>
        <w:tc>
          <w:tcPr>
            <w:tcW w:w="163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E83A5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/>
              </w:rPr>
              <w:t>sr²</w:t>
            </w:r>
          </w:p>
        </w:tc>
        <w:tc>
          <w:tcPr>
            <w:tcW w:w="17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5ECF7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1"/>
                <w:szCs w:val="21"/>
                <w:vertAlign w:val="baseline"/>
                <w:lang w:val="en-US"/>
              </w:rPr>
              <w:t>Partial-Eta Squared</w:t>
            </w:r>
          </w:p>
        </w:tc>
      </w:tr>
      <w:tr w14:paraId="584BAE46">
        <w:trPr>
          <w:trHeight w:val="1050" w:hRule="atLeast"/>
        </w:trPr>
        <w:tc>
          <w:tcPr>
            <w:tcW w:w="163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8197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在控制其他变量后，</w:t>
            </w:r>
          </w:p>
          <w:p w14:paraId="769925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变化一个标准差，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变化的标准差数</w:t>
            </w:r>
          </w:p>
        </w:tc>
        <w:tc>
          <w:tcPr>
            <w:tcW w:w="163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EB53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在控制其他变量后，</w:t>
            </w:r>
          </w:p>
          <w:p w14:paraId="09D8749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X独自解释的Y总方差的比例</w:t>
            </w:r>
          </w:p>
        </w:tc>
        <w:tc>
          <w:tcPr>
            <w:tcW w:w="17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AA21E6"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在控制其他变量后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eastAsia="zh-CN"/>
              </w:rPr>
              <w:t>，</w:t>
            </w:r>
          </w:p>
          <w:p w14:paraId="23A3DDF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解释的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/>
              </w:rPr>
              <w:t>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未被其他变量解释的剩余方差的比例</w:t>
            </w:r>
          </w:p>
        </w:tc>
      </w:tr>
      <w:tr w14:paraId="37DC93E9">
        <w:trPr>
          <w:trHeight w:val="1050" w:hRule="atLeast"/>
        </w:trPr>
        <w:tc>
          <w:tcPr>
            <w:tcW w:w="1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5C512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连续自变量的回归模型</w:t>
            </w: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2D328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连续自变量的回归模型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4395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方差分析模型（类别自变量）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  <w:lang w:eastAsia="zh-CN"/>
              </w:rPr>
              <w:t>，</w:t>
            </w:r>
          </w:p>
          <w:p w14:paraId="5D85DCE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也适用于回归，但常见于GLM框架</w:t>
            </w:r>
          </w:p>
        </w:tc>
      </w:tr>
      <w:tr w14:paraId="5514083C">
        <w:trPr>
          <w:trHeight w:val="1050" w:hRule="atLeast"/>
        </w:trPr>
        <w:tc>
          <w:tcPr>
            <w:tcW w:w="1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443D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哪个自变量的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效应（影响力）更大、方向如何</w:t>
            </w:r>
          </w:p>
          <w:p w14:paraId="428A0A1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2D5D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哪个自变量对提高模型的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整体解释力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贡献更大</w:t>
            </w:r>
          </w:p>
          <w:p w14:paraId="243E0AF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54E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这个（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  <w:t>类别自变量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）解释了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多少剩余变异</w:t>
            </w:r>
          </w:p>
          <w:p w14:paraId="7CCE0B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</w:p>
        </w:tc>
      </w:tr>
      <w:tr w14:paraId="1F3E7F73">
        <w:trPr>
          <w:trHeight w:val="1050" w:hRule="atLeast"/>
        </w:trPr>
        <w:tc>
          <w:tcPr>
            <w:tcW w:w="16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80FA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标准化，无量纲，值域通常为 [-1, 1]</w:t>
            </w:r>
          </w:p>
          <w:p w14:paraId="41A4685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9A54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比例，值域 [0, 1]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代表方差解释的份额</w:t>
            </w:r>
          </w:p>
          <w:p w14:paraId="3822516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7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4FAF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比例，值域 [0, 1]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代表对剩余方差的解释比例</w:t>
            </w:r>
          </w:p>
          <w:p w14:paraId="2BD938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</w:p>
        </w:tc>
      </w:tr>
    </w:tbl>
    <w:p w14:paraId="1A4933F3">
      <w:pPr>
        <w:rPr>
          <w:rFonts w:hint="eastAsia" w:asciiTheme="minorEastAsia" w:hAnsiTheme="minorEastAsia" w:eastAsiaTheme="minorEastAsia" w:cstheme="minor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F4A98"/>
    <w:rsid w:val="67FF4A98"/>
    <w:rsid w:val="6FEB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2026-01-19T05:10:00Z</dcterms:created>
  <dc:creator>王宁</dc:creator>
  <cp:lastModifiedBy>王宁</cp:lastModifiedBy>
  <dcterms:modified xsi:type="dcterms:W3CDTF">2026-01-19T17:22:54Z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25E3BB8FC19A658DD2DB6C69FAEDA43C_41</vt:lpwstr>
  </property>
</Properties>
</file>