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4C337B">
      <w:pPr>
        <w:jc w:val="center"/>
        <w:rPr>
          <w:rFonts w:hint="eastAsia" w:ascii="方正小标宋简体" w:hAnsi="方正小标宋简体" w:eastAsia="方正小标宋简体" w:cs="方正小标宋简体"/>
          <w:sz w:val="30"/>
          <w:szCs w:val="30"/>
          <w:lang w:val="en-US"/>
        </w:rPr>
      </w:pPr>
      <w:r>
        <w:rPr>
          <w:rFonts w:hint="eastAsia" w:ascii="方正小标宋简体" w:hAnsi="方正小标宋简体" w:eastAsia="方正小标宋简体" w:cs="方正小标宋简体"/>
          <w:sz w:val="30"/>
          <w:szCs w:val="30"/>
          <w:lang w:val="en-US"/>
        </w:rPr>
        <w:t>CMB(ULMC)</w:t>
      </w:r>
    </w:p>
    <w:tbl>
      <w:tblPr>
        <w:tblStyle w:val="3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555"/>
        <w:gridCol w:w="1751"/>
        <w:gridCol w:w="901"/>
        <w:gridCol w:w="845"/>
        <w:gridCol w:w="826"/>
        <w:gridCol w:w="1417"/>
        <w:gridCol w:w="1222"/>
      </w:tblGrid>
      <w:tr w14:paraId="3376FFD2">
        <w:tc>
          <w:tcPr>
            <w:tcW w:w="91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337DDAF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Model</w:t>
            </w:r>
          </w:p>
        </w:tc>
        <w:tc>
          <w:tcPr>
            <w:tcW w:w="1028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585AE17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Chi-Squ</w:t>
            </w:r>
          </w:p>
        </w:tc>
        <w:tc>
          <w:tcPr>
            <w:tcW w:w="529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3C88C7D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Df</w:t>
            </w:r>
          </w:p>
        </w:tc>
        <w:tc>
          <w:tcPr>
            <w:tcW w:w="49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E6CE148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CFI</w:t>
            </w:r>
          </w:p>
        </w:tc>
        <w:tc>
          <w:tcPr>
            <w:tcW w:w="485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74C3849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TLI</w:t>
            </w:r>
          </w:p>
        </w:tc>
        <w:tc>
          <w:tcPr>
            <w:tcW w:w="832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AC3518E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RMSEA</w:t>
            </w:r>
          </w:p>
        </w:tc>
        <w:tc>
          <w:tcPr>
            <w:tcW w:w="71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9196927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SRMR</w:t>
            </w:r>
          </w:p>
        </w:tc>
      </w:tr>
      <w:tr w14:paraId="7C06A989">
        <w:tc>
          <w:tcPr>
            <w:tcW w:w="91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C08C0A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CFA</w:t>
            </w:r>
          </w:p>
        </w:tc>
        <w:tc>
          <w:tcPr>
            <w:tcW w:w="1028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11603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529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BFEB1E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49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580146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485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3850C3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832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903CED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71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85F01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</w:tr>
      <w:tr w14:paraId="78E1D912">
        <w:tc>
          <w:tcPr>
            <w:tcW w:w="9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EB16B7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ULMC</w:t>
            </w:r>
          </w:p>
        </w:tc>
        <w:tc>
          <w:tcPr>
            <w:tcW w:w="102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2E1BD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52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2C752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49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CFE8F9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48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42EB67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83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654166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71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BF745E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</w:tr>
      <w:tr w14:paraId="2561683E">
        <w:tc>
          <w:tcPr>
            <w:tcW w:w="5000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0B12A1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Chi-Squ Model Comparison Tests</w:t>
            </w:r>
          </w:p>
        </w:tc>
      </w:tr>
      <w:tr w14:paraId="40C3B9EC">
        <w:tc>
          <w:tcPr>
            <w:tcW w:w="913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3ABC2F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l-GR"/>
              </w:rPr>
              <w:t>Δ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Models</w:t>
            </w:r>
          </w:p>
        </w:tc>
        <w:tc>
          <w:tcPr>
            <w:tcW w:w="102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B72C71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l-GR"/>
              </w:rPr>
              <w:t>Δ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Chi-Squ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superscript"/>
                <w:lang w:val="en-US"/>
              </w:rPr>
              <w:t>a</w:t>
            </w:r>
          </w:p>
        </w:tc>
        <w:tc>
          <w:tcPr>
            <w:tcW w:w="52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4A6319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l-GR"/>
              </w:rPr>
              <w:t>Δ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df</w:t>
            </w:r>
          </w:p>
        </w:tc>
        <w:tc>
          <w:tcPr>
            <w:tcW w:w="252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BAF7C1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Chi-Squ Critical Value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superscript"/>
                <w:lang w:val="en-US"/>
              </w:rPr>
              <w:t>b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 xml:space="preserve"> at 0.05.</w:t>
            </w:r>
          </w:p>
        </w:tc>
      </w:tr>
      <w:tr w14:paraId="358EEF32">
        <w:tc>
          <w:tcPr>
            <w:tcW w:w="913" w:type="pct"/>
            <w:vMerge w:val="continue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94E94AA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1028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1A4507C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52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3D74ADA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</w:p>
        </w:tc>
        <w:tc>
          <w:tcPr>
            <w:tcW w:w="2527" w:type="pct"/>
            <w:gridSpan w:val="4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30C295A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=CHISQ.INV(p,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l-GR"/>
              </w:rPr>
              <w:t>Δ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df)</w:t>
            </w:r>
          </w:p>
        </w:tc>
      </w:tr>
    </w:tbl>
    <w:p w14:paraId="5B92563E">
      <w:pPr>
        <w:rPr>
          <w:rFonts w:hint="eastAsia" w:asciiTheme="minorEastAsia" w:hAnsiTheme="minorEastAsia" w:eastAsiaTheme="minorEastAsia" w:cstheme="minorEastAsia"/>
          <w:lang w:val="en-US"/>
        </w:rPr>
      </w:pPr>
      <w:r>
        <w:rPr>
          <w:rFonts w:hint="eastAsia" w:asciiTheme="minorEastAsia" w:hAnsiTheme="minorEastAsia" w:eastAsiaTheme="minorEastAsia" w:cstheme="minorEastAsia"/>
          <w:lang w:val="en-US"/>
        </w:rPr>
        <w:t>Note:Significant at 0.05 level.</w:t>
      </w:r>
    </w:p>
    <w:p w14:paraId="1F756447">
      <w:pPr>
        <w:rPr>
          <w:rFonts w:hint="eastAsia" w:asciiTheme="minorEastAsia" w:hAnsiTheme="minorEastAsia" w:eastAsiaTheme="minorEastAsia" w:cstheme="minorEastAsia"/>
          <w:lang w:val="en-US"/>
        </w:rPr>
      </w:pPr>
    </w:p>
    <w:p w14:paraId="1A8946AF">
      <w:pPr>
        <w:rPr>
          <w:rFonts w:hint="default" w:asciiTheme="minorEastAsia" w:hAnsiTheme="minorEastAsia" w:eastAsiaTheme="minorEastAsia" w:cstheme="minorEastAsia"/>
          <w:b/>
          <w:bCs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lang w:val="en-US" w:eastAsia="zh-CN"/>
        </w:rPr>
        <w:t>(</w:t>
      </w:r>
      <w:r>
        <w:rPr>
          <w:rFonts w:hint="default" w:asciiTheme="minorEastAsia" w:hAnsiTheme="minorEastAsia" w:cstheme="minorEastAsia"/>
          <w:b/>
          <w:bCs/>
          <w:vertAlign w:val="superscript"/>
          <w:lang w:val="en-US" w:eastAsia="zh-CN"/>
        </w:rPr>
        <w:t>a</w:t>
      </w:r>
      <w:r>
        <w:rPr>
          <w:rFonts w:hint="default" w:asciiTheme="minorEastAsia" w:hAnsiTheme="minorEastAsia" w:cstheme="minorEastAsia"/>
          <w:b/>
          <w:bCs/>
          <w:lang w:val="en-US" w:eastAsia="zh-CN"/>
        </w:rPr>
        <w:t xml:space="preserve"> &lt; </w:t>
      </w:r>
      <w:r>
        <w:rPr>
          <w:rFonts w:hint="default" w:asciiTheme="minorEastAsia" w:hAnsiTheme="minorEastAsia" w:cstheme="minorEastAsia"/>
          <w:b/>
          <w:bCs/>
          <w:vertAlign w:val="superscript"/>
          <w:lang w:val="en-US" w:eastAsia="zh-CN"/>
        </w:rPr>
        <w:t>b</w:t>
      </w:r>
      <w:r>
        <w:rPr>
          <w:rFonts w:hint="default" w:asciiTheme="minorEastAsia" w:hAnsiTheme="minorEastAsia" w:cstheme="minorEastAsia"/>
          <w:b/>
          <w:bCs/>
          <w:lang w:val="en-US" w:eastAsia="zh-CN"/>
        </w:rPr>
        <w:t xml:space="preserve"> :T</w:t>
      </w:r>
      <w:bookmarkStart w:id="0" w:name="_GoBack"/>
      <w:bookmarkEnd w:id="0"/>
      <w:r>
        <w:rPr>
          <w:rFonts w:hint="default" w:asciiTheme="minorEastAsia" w:hAnsiTheme="minorEastAsia" w:cstheme="minorEastAsia"/>
          <w:b/>
          <w:bCs/>
          <w:lang w:val="en-US" w:eastAsia="zh-CN"/>
        </w:rPr>
        <w:t>he results suggested CMV would not unduly impact the hypothesis testing.)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3BC63F"/>
    <w:rsid w:val="633BC63F"/>
    <w:rsid w:val="EDBB15A8"/>
    <w:rsid w:val="FDBA6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Office_7.2.0.8943_F1E327BC-269C-435d-A152-05C5408002CA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2025-07-01T11:26:00Z</dcterms:created>
  <dc:creator>王宁</dc:creator>
  <cp:lastModifiedBy>王宁</cp:lastModifiedBy>
  <dcterms:modified xsi:type="dcterms:W3CDTF">2025-07-01T11:52:34Z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2052-7.2.0.8943</vt:lpwstr>
  </property>
  <property fmtid="{D5CDD505-2E9C-101B-9397-08002B2CF9AE}" pid="3" name="ICV">
    <vt:lpwstr>27FF773722E8E43A79556368A3B574F3_41</vt:lpwstr>
  </property>
</Properties>
</file>