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C3226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中介分析结果</w:t>
      </w:r>
    </w:p>
    <w:p w14:paraId="0406B136">
      <w:pPr>
        <w:jc w:val="center"/>
      </w:pPr>
    </w:p>
    <w:p w14:paraId="63C658F0">
      <w:pPr>
        <w:jc w:val="center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182235" cy="2591435"/>
            <wp:effectExtent l="0" t="0" r="24765" b="247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ED13">
      <w:pPr>
        <w:jc w:val="center"/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>表</w:t>
      </w:r>
      <w:r>
        <w:rPr>
          <w:rFonts w:hint="default" w:ascii="方正仿宋_GB2312" w:hAnsi="方正仿宋_GB2312" w:eastAsia="方正仿宋_GB2312" w:cs="方正仿宋_GB2312"/>
          <w:sz w:val="24"/>
          <w:szCs w:val="24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sz w:val="24"/>
          <w:szCs w:val="24"/>
          <w:lang w:val="en-US" w:eastAsia="zh-CN"/>
        </w:rPr>
        <w:t xml:space="preserve"> 预设识别模型中介效应分析结果（显变量）</w:t>
      </w:r>
    </w:p>
    <w:p w14:paraId="23A451FB">
      <w:pPr>
        <w:jc w:val="left"/>
        <w:rPr>
          <w:rFonts w:hint="eastAsia" w:ascii="方正仿宋_GB2312" w:hAnsi="方正仿宋_GB2312" w:eastAsia="方正仿宋_GB2312" w:cs="方正仿宋_GB2312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路径：品牌形象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vertAlign w:val="baseline"/>
          <w:lang w:eastAsia="zh-Hans"/>
        </w:rPr>
        <w:t>--&gt;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lang w:val="en-US" w:eastAsia="zh-CN"/>
        </w:rPr>
        <w:t>知觉价值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vertAlign w:val="baseline"/>
          <w:lang w:eastAsia="zh-Hans"/>
        </w:rPr>
        <w:t>--&gt;</w:t>
      </w:r>
      <w:r>
        <w:rPr>
          <w:rFonts w:hint="eastAsia" w:ascii="方正仿宋_GB2312" w:hAnsi="方正仿宋_GB2312" w:eastAsia="方正仿宋_GB2312" w:cs="方正仿宋_GB2312"/>
          <w:color w:val="000000"/>
          <w:sz w:val="21"/>
          <w:szCs w:val="21"/>
          <w:vertAlign w:val="baseline"/>
          <w:lang w:val="en-US" w:eastAsia="zh-CN"/>
        </w:rPr>
        <w:t>品牌跨度度</w:t>
      </w:r>
    </w:p>
    <w:tbl>
      <w:tblPr>
        <w:tblStyle w:val="3"/>
        <w:tblW w:w="4997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9"/>
        <w:gridCol w:w="1590"/>
        <w:gridCol w:w="910"/>
        <w:gridCol w:w="910"/>
        <w:gridCol w:w="1590"/>
        <w:gridCol w:w="765"/>
        <w:gridCol w:w="758"/>
        <w:gridCol w:w="855"/>
      </w:tblGrid>
      <w:tr w14:paraId="71C7F637">
        <w:tc>
          <w:tcPr>
            <w:tcW w:w="668" w:type="pct"/>
            <w:vMerge w:val="restar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755F109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933" w:type="pct"/>
            <w:vMerge w:val="restart"/>
            <w:tcBorders>
              <w:top w:val="single" w:color="000000" w:sz="12" w:space="0"/>
            </w:tcBorders>
            <w:shd w:val="clear" w:color="auto" w:fill="FFFFFF"/>
            <w:vAlign w:val="center"/>
          </w:tcPr>
          <w:p w14:paraId="0D232560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标准化效应值</w:t>
            </w:r>
          </w:p>
        </w:tc>
        <w:tc>
          <w:tcPr>
            <w:tcW w:w="534" w:type="pct"/>
            <w:vMerge w:val="restar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70C9373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效应值</w:t>
            </w:r>
          </w:p>
        </w:tc>
        <w:tc>
          <w:tcPr>
            <w:tcW w:w="534" w:type="pct"/>
            <w:vMerge w:val="restar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88190ED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标准误</w:t>
            </w:r>
          </w:p>
        </w:tc>
        <w:tc>
          <w:tcPr>
            <w:tcW w:w="933" w:type="pct"/>
            <w:vMerge w:val="restar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DA18806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占总效应之比</w:t>
            </w:r>
          </w:p>
        </w:tc>
        <w:tc>
          <w:tcPr>
            <w:tcW w:w="894" w:type="pct"/>
            <w:gridSpan w:val="2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8EC234C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95%CI</w:t>
            </w:r>
          </w:p>
        </w:tc>
        <w:tc>
          <w:tcPr>
            <w:tcW w:w="501" w:type="pct"/>
            <w:vMerge w:val="restart"/>
            <w:tcBorders>
              <w:top w:val="single" w:color="000000" w:sz="12" w:space="0"/>
            </w:tcBorders>
            <w:shd w:val="clear" w:color="auto" w:fill="FFFFFF"/>
            <w:vAlign w:val="center"/>
          </w:tcPr>
          <w:p w14:paraId="3574DC1F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>p</w:t>
            </w:r>
          </w:p>
        </w:tc>
      </w:tr>
      <w:tr w14:paraId="0EF78E90">
        <w:tc>
          <w:tcPr>
            <w:tcW w:w="668" w:type="pct"/>
            <w:vMerge w:val="continue"/>
            <w:tcBorders>
              <w:top w:val="single" w:color="000000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2329AC3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933" w:type="pct"/>
            <w:vMerge w:val="continue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A680ECC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534" w:type="pct"/>
            <w:vMerge w:val="continue"/>
            <w:tcBorders>
              <w:top w:val="single" w:color="000000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574C577D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534" w:type="pct"/>
            <w:vMerge w:val="continue"/>
            <w:tcBorders>
              <w:top w:val="single" w:color="000000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250C6793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933" w:type="pct"/>
            <w:vMerge w:val="continue"/>
            <w:tcBorders>
              <w:top w:val="single" w:color="000000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7EE4678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</w:p>
        </w:tc>
        <w:tc>
          <w:tcPr>
            <w:tcW w:w="449" w:type="pct"/>
            <w:tcBorders>
              <w:top w:val="single" w:color="000000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B126227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LLCL</w:t>
            </w:r>
          </w:p>
        </w:tc>
        <w:tc>
          <w:tcPr>
            <w:tcW w:w="444" w:type="pct"/>
            <w:tcBorders>
              <w:top w:val="single" w:color="000000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B4C55F9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ULCL</w:t>
            </w:r>
          </w:p>
        </w:tc>
        <w:tc>
          <w:tcPr>
            <w:tcW w:w="501" w:type="pct"/>
            <w:vMerge w:val="continue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E14CC6A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</w:pPr>
          </w:p>
        </w:tc>
      </w:tr>
      <w:tr w14:paraId="23BAF8B0">
        <w:tc>
          <w:tcPr>
            <w:tcW w:w="668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52ECB7E7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直接效应</w:t>
            </w:r>
          </w:p>
        </w:tc>
        <w:tc>
          <w:tcPr>
            <w:tcW w:w="933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A88587D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>0.364</w:t>
            </w:r>
          </w:p>
        </w:tc>
        <w:tc>
          <w:tcPr>
            <w:tcW w:w="534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5E57F29B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517</w:t>
            </w:r>
          </w:p>
        </w:tc>
        <w:tc>
          <w:tcPr>
            <w:tcW w:w="534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6F030E68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073</w:t>
            </w:r>
          </w:p>
        </w:tc>
        <w:tc>
          <w:tcPr>
            <w:tcW w:w="933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634C8D69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85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.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60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%</w:t>
            </w:r>
          </w:p>
        </w:tc>
        <w:tc>
          <w:tcPr>
            <w:tcW w:w="449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0AD9E910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374</w:t>
            </w:r>
          </w:p>
        </w:tc>
        <w:tc>
          <w:tcPr>
            <w:tcW w:w="444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64CEBE36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665</w:t>
            </w:r>
          </w:p>
        </w:tc>
        <w:tc>
          <w:tcPr>
            <w:tcW w:w="501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039AE357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>0.001</w:t>
            </w:r>
          </w:p>
        </w:tc>
      </w:tr>
      <w:tr w14:paraId="15E41D82">
        <w:tc>
          <w:tcPr>
            <w:tcW w:w="668" w:type="pct"/>
            <w:shd w:val="clear" w:color="auto" w:fill="FFFFFF"/>
            <w:vAlign w:val="center"/>
          </w:tcPr>
          <w:p w14:paraId="1B942D16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间接效应</w:t>
            </w:r>
          </w:p>
        </w:tc>
        <w:tc>
          <w:tcPr>
            <w:tcW w:w="933" w:type="pct"/>
            <w:shd w:val="clear" w:color="auto" w:fill="FFFFFF"/>
            <w:vAlign w:val="center"/>
          </w:tcPr>
          <w:p w14:paraId="71DBACA6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>0.061</w:t>
            </w:r>
          </w:p>
        </w:tc>
        <w:tc>
          <w:tcPr>
            <w:tcW w:w="534" w:type="pct"/>
            <w:shd w:val="clear" w:color="auto" w:fill="FFFFFF"/>
            <w:vAlign w:val="center"/>
          </w:tcPr>
          <w:p w14:paraId="1E9272D8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087</w:t>
            </w:r>
          </w:p>
        </w:tc>
        <w:tc>
          <w:tcPr>
            <w:tcW w:w="534" w:type="pct"/>
            <w:shd w:val="clear" w:color="auto" w:fill="FFFFFF"/>
            <w:vAlign w:val="center"/>
          </w:tcPr>
          <w:p w14:paraId="734C97BD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026</w:t>
            </w:r>
          </w:p>
        </w:tc>
        <w:tc>
          <w:tcPr>
            <w:tcW w:w="933" w:type="pct"/>
            <w:shd w:val="clear" w:color="auto" w:fill="FFFFFF"/>
            <w:vAlign w:val="center"/>
          </w:tcPr>
          <w:p w14:paraId="5C66349B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14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.</w:t>
            </w: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40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%</w:t>
            </w:r>
          </w:p>
        </w:tc>
        <w:tc>
          <w:tcPr>
            <w:tcW w:w="449" w:type="pct"/>
            <w:shd w:val="clear" w:color="auto" w:fill="FFFFFF"/>
            <w:vAlign w:val="center"/>
          </w:tcPr>
          <w:p w14:paraId="57FCFD64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043</w:t>
            </w:r>
          </w:p>
        </w:tc>
        <w:tc>
          <w:tcPr>
            <w:tcW w:w="444" w:type="pct"/>
            <w:shd w:val="clear" w:color="auto" w:fill="FFFFFF"/>
            <w:vAlign w:val="center"/>
          </w:tcPr>
          <w:p w14:paraId="1F91D26D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148</w:t>
            </w:r>
          </w:p>
        </w:tc>
        <w:tc>
          <w:tcPr>
            <w:tcW w:w="501" w:type="pct"/>
            <w:shd w:val="clear" w:color="auto" w:fill="FFFFFF"/>
            <w:vAlign w:val="center"/>
          </w:tcPr>
          <w:p w14:paraId="532B49C7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>&lt;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>0.00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1</w:t>
            </w:r>
          </w:p>
        </w:tc>
      </w:tr>
      <w:tr w14:paraId="70FFBD95">
        <w:tc>
          <w:tcPr>
            <w:tcW w:w="668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62BB289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总效应</w:t>
            </w:r>
          </w:p>
        </w:tc>
        <w:tc>
          <w:tcPr>
            <w:tcW w:w="933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32293A6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>0.425</w:t>
            </w:r>
          </w:p>
        </w:tc>
        <w:tc>
          <w:tcPr>
            <w:tcW w:w="534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56D138D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604</w:t>
            </w:r>
          </w:p>
        </w:tc>
        <w:tc>
          <w:tcPr>
            <w:tcW w:w="534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493E3A3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067</w:t>
            </w:r>
          </w:p>
        </w:tc>
        <w:tc>
          <w:tcPr>
            <w:tcW w:w="933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890AEC5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——</w:t>
            </w:r>
          </w:p>
        </w:tc>
        <w:tc>
          <w:tcPr>
            <w:tcW w:w="449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18D8B24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0.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478</w:t>
            </w:r>
          </w:p>
        </w:tc>
        <w:tc>
          <w:tcPr>
            <w:tcW w:w="444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E1FBA2C">
            <w:pPr>
              <w:jc w:val="center"/>
              <w:rPr>
                <w:rFonts w:hint="default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 w:eastAsia="zh-CN"/>
              </w:rPr>
              <w:t>741</w:t>
            </w:r>
          </w:p>
        </w:tc>
        <w:tc>
          <w:tcPr>
            <w:tcW w:w="501" w:type="pct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3450D63">
            <w:pPr>
              <w:jc w:val="center"/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color w:val="000000"/>
                <w:sz w:val="21"/>
                <w:szCs w:val="21"/>
                <w:lang w:val="en-US"/>
              </w:rPr>
              <w:t>0.001</w:t>
            </w:r>
          </w:p>
        </w:tc>
      </w:tr>
    </w:tbl>
    <w:p w14:paraId="3E269287">
      <w:pPr>
        <w:jc w:val="both"/>
        <w:rPr>
          <w:rFonts w:hint="eastAsia"/>
          <w:lang w:val="en-US" w:eastAsia="zh-CN"/>
        </w:rPr>
      </w:pPr>
    </w:p>
    <w:p w14:paraId="7D96B9DC">
      <w:p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附：</w:t>
      </w:r>
      <w:r>
        <w:rPr>
          <w:rFonts w:hint="default"/>
          <w:b w:val="0"/>
          <w:bCs w:val="0"/>
          <w:lang w:val="en-US" w:eastAsia="zh-CN"/>
        </w:rPr>
        <w:t>Amos syntax</w:t>
      </w:r>
    </w:p>
    <w:p w14:paraId="53385F7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附：SPSS-Process设置</w:t>
      </w:r>
    </w:p>
    <w:p w14:paraId="6EE02E04">
      <w:pPr>
        <w:jc w:val="both"/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p w14:paraId="424E9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42B5213">
      <w:p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附：</w:t>
      </w:r>
      <w:r>
        <w:rPr>
          <w:rFonts w:hint="default"/>
          <w:b/>
          <w:bCs/>
          <w:lang w:val="en-US" w:eastAsia="zh-CN"/>
        </w:rPr>
        <w:t>Amos syntax</w:t>
      </w:r>
    </w:p>
    <w:p w14:paraId="7B2B3AE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#Region "Header"</w:t>
      </w:r>
    </w:p>
    <w:p w14:paraId="245F643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Imports System</w:t>
      </w:r>
    </w:p>
    <w:p w14:paraId="093AB73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Imports Microsoft.VisualBasic</w:t>
      </w:r>
    </w:p>
    <w:p w14:paraId="73A9054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Imports AmosEngineLib</w:t>
      </w:r>
    </w:p>
    <w:p w14:paraId="6965DB4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Imports AmosEngineLib.AmosEngine</w:t>
      </w:r>
    </w:p>
    <w:p w14:paraId="5D3E8AD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Imports AmosEngineLib.AmosEngine.TMatrixID</w:t>
      </w:r>
    </w:p>
    <w:p w14:paraId="1FCF2E0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Imports MiscAmosTypes</w:t>
      </w:r>
    </w:p>
    <w:p w14:paraId="786B438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Imports MiscAmosTypes.cDatabaseFormat</w:t>
      </w:r>
    </w:p>
    <w:p w14:paraId="737411F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#End Region</w:t>
      </w:r>
    </w:p>
    <w:p w14:paraId="6351D35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CUserValue : Implements IUserValue</w:t>
      </w:r>
    </w:p>
    <w:p w14:paraId="4512C46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0E62AD9">
      <w:pPr>
        <w:jc w:val="both"/>
        <w:rPr>
          <w:rFonts w:hint="eastAsia"/>
          <w:lang w:val="en-US" w:eastAsia="zh-CN"/>
        </w:rPr>
      </w:pPr>
    </w:p>
    <w:p w14:paraId="4A035CA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Function Value( groupNumber As Integer, bootstrapSampleNumber As Integer, v As CValue) As Object Implements IUserValue.Value</w:t>
      </w:r>
    </w:p>
    <w:p w14:paraId="000946F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' Your code goes here.</w:t>
      </w:r>
    </w:p>
    <w:p w14:paraId="16F27DC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Dim x(5) As Double</w:t>
      </w:r>
    </w:p>
    <w:p w14:paraId="5094E9C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x(0)=v.ParameterValue("c1")</w:t>
      </w:r>
    </w:p>
    <w:p w14:paraId="3D0545D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x(1)=v.ParameterValue("a") * v.ParameterValue("b")</w:t>
      </w:r>
    </w:p>
    <w:p w14:paraId="6ACF0F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x(2)=x(0)+x(1)</w:t>
      </w:r>
    </w:p>
    <w:p w14:paraId="3B5B5B5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x(3)=v.GetStandardizedDirectEffectsElement("ly","bi")</w:t>
      </w:r>
    </w:p>
    <w:p w14:paraId="36569B8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x(4)=v.GetStandardizedIndirectEffectsElement("ly","bi")</w:t>
      </w:r>
    </w:p>
    <w:p w14:paraId="7D81F5E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x(5)=v.GetStandardizedTotalEffectsElement("ly","bi")</w:t>
      </w:r>
    </w:p>
    <w:p w14:paraId="3494415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x</w:t>
      </w:r>
    </w:p>
    <w:p w14:paraId="4A59503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 Function</w:t>
      </w:r>
    </w:p>
    <w:p w14:paraId="48302C97">
      <w:pPr>
        <w:jc w:val="both"/>
        <w:rPr>
          <w:rFonts w:hint="eastAsia"/>
          <w:lang w:val="en-US" w:eastAsia="zh-CN"/>
        </w:rPr>
      </w:pPr>
    </w:p>
    <w:p w14:paraId="6414745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97399F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#Region "Advanced"</w:t>
      </w:r>
    </w:p>
    <w:p w14:paraId="3E87708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Function Label( groupNumber As Integer) As Object Implements IUserValue.Label</w:t>
      </w:r>
    </w:p>
    <w:p w14:paraId="2F34EB1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' You can replace the following line.</w:t>
      </w:r>
    </w:p>
    <w:p w14:paraId="57A6C33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Dim mylabel(5) As String</w:t>
      </w:r>
    </w:p>
    <w:p w14:paraId="6A14373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mylabel(0)="direct effect"</w:t>
      </w:r>
    </w:p>
    <w:p w14:paraId="1560BAE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mylabel(1)="indirect effect"</w:t>
      </w:r>
    </w:p>
    <w:p w14:paraId="064FC10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mylabel(2)="total effect"</w:t>
      </w:r>
    </w:p>
    <w:p w14:paraId="4EABFD2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mylabel(3)="Standardized direct effect"</w:t>
      </w:r>
    </w:p>
    <w:p w14:paraId="3F511BC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mylabel(4)="Standardized indirect effect"</w:t>
      </w:r>
    </w:p>
    <w:p w14:paraId="0DC610E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mylabel(5)="Standardized total effect"</w:t>
      </w:r>
    </w:p>
    <w:p w14:paraId="0E867D1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mylabel</w:t>
      </w:r>
    </w:p>
    <w:p w14:paraId="1485FB6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 Function</w:t>
      </w:r>
    </w:p>
    <w:p w14:paraId="42682E4F">
      <w:pPr>
        <w:jc w:val="both"/>
        <w:rPr>
          <w:rFonts w:hint="eastAsia"/>
          <w:lang w:val="en-US" w:eastAsia="zh-CN"/>
        </w:rPr>
      </w:pPr>
    </w:p>
    <w:p w14:paraId="0C0086A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Sub Initialize() Implements IUserValue.Initialize</w:t>
      </w:r>
    </w:p>
    <w:p w14:paraId="616E063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 Sub</w:t>
      </w:r>
    </w:p>
    <w:p w14:paraId="1D7C4BEF">
      <w:pPr>
        <w:jc w:val="both"/>
        <w:rPr>
          <w:rFonts w:hint="eastAsia"/>
          <w:lang w:val="en-US" w:eastAsia="zh-CN"/>
        </w:rPr>
      </w:pPr>
    </w:p>
    <w:p w14:paraId="1F7B8A7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Sub CleanUp() Implements IUserValue.CleanUp</w:t>
      </w:r>
    </w:p>
    <w:p w14:paraId="15655BE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 Sub</w:t>
      </w:r>
    </w:p>
    <w:p w14:paraId="3F8EB85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#End Region</w:t>
      </w:r>
    </w:p>
    <w:p w14:paraId="734F2B8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Class</w:t>
      </w:r>
    </w:p>
    <w:p w14:paraId="6D0FE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F3299D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附：SPSS-Process设置</w:t>
      </w:r>
    </w:p>
    <w:p w14:paraId="749D3CD0">
      <w:pPr>
        <w:jc w:val="center"/>
      </w:pPr>
      <w:r>
        <w:drawing>
          <wp:inline distT="0" distB="0" distL="114300" distR="114300">
            <wp:extent cx="4834255" cy="3629660"/>
            <wp:effectExtent l="0" t="0" r="1714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E4E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04410" cy="3014980"/>
            <wp:effectExtent l="0" t="0" r="2159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02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D462D"/>
    <w:rsid w:val="137A9F28"/>
    <w:rsid w:val="27777F81"/>
    <w:rsid w:val="37FD462D"/>
    <w:rsid w:val="3B795FA4"/>
    <w:rsid w:val="3D92A82D"/>
    <w:rsid w:val="3DFDD4F8"/>
    <w:rsid w:val="47E77546"/>
    <w:rsid w:val="4C3F1413"/>
    <w:rsid w:val="5FAFC6A8"/>
    <w:rsid w:val="5FCECDD1"/>
    <w:rsid w:val="5FFF235B"/>
    <w:rsid w:val="6E778D8A"/>
    <w:rsid w:val="6FFC9DA3"/>
    <w:rsid w:val="7E6F8BD4"/>
    <w:rsid w:val="7EB7E9EE"/>
    <w:rsid w:val="7EFF67D1"/>
    <w:rsid w:val="7FEA04A7"/>
    <w:rsid w:val="7FEFC466"/>
    <w:rsid w:val="7FF2274E"/>
    <w:rsid w:val="7FFFE569"/>
    <w:rsid w:val="B1EFB083"/>
    <w:rsid w:val="CBB69606"/>
    <w:rsid w:val="DE9F0F52"/>
    <w:rsid w:val="DFE6BAFB"/>
    <w:rsid w:val="EBFF31B7"/>
    <w:rsid w:val="FE7AF9F3"/>
    <w:rsid w:val="FF177B76"/>
    <w:rsid w:val="FFFAC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227</Words>
  <Characters>1363</Characters>
  <Lines>0</Lines>
  <Paragraphs>0</Paragraphs>
  <TotalTime>0</TotalTime>
  <ScaleCrop>false</ScaleCrop>
  <LinksUpToDate>false</LinksUpToDate>
  <CharactersWithSpaces>1490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2025-01-17T13:36:00Z</dcterms:created>
  <dc:creator>王宁</dc:creator>
  <cp:lastModifiedBy>王宁</cp:lastModifiedBy>
  <dcterms:modified xsi:type="dcterms:W3CDTF">2025-01-17T18:54:25Z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8CB86B64C39A24FE480B89670D30C0A7_41</vt:lpwstr>
  </property>
</Properties>
</file>