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D7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Cox Proportional Hazards(PH) Assumption</w:t>
      </w:r>
    </w:p>
    <w:p w14:paraId="3C317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Cox 比例风险假设（PH）：不同个体（或组）之间的风险比在时间上保持恒定</w:t>
      </w:r>
      <w:r>
        <w:rPr>
          <w:rFonts w:hint="eastAsia" w:asciiTheme="minorEastAsia" w:hAnsiTheme="minorEastAsia" w:cstheme="minorEastAsia"/>
          <w:lang w:eastAsia="zh-CN"/>
        </w:rPr>
        <w:t>。</w:t>
      </w:r>
    </w:p>
    <w:p w14:paraId="767DD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 xml:space="preserve">1. </w:t>
      </w:r>
      <w:r>
        <w:rPr>
          <w:rFonts w:hint="eastAsia" w:asciiTheme="minorEastAsia" w:hAnsiTheme="minorEastAsia" w:cstheme="minorEastAsia"/>
          <w:lang w:val="en-US" w:eastAsia="zh-CN"/>
        </w:rPr>
        <w:t>cox.zph</w:t>
      </w:r>
      <w:r>
        <w:rPr>
          <w:rFonts w:hint="default" w:asciiTheme="minorEastAsia" w:hAnsiTheme="minorEastAsia" w:cstheme="minorEastAsia"/>
          <w:lang w:val="en-US" w:eastAsia="zh-CN"/>
        </w:rPr>
        <w:t>()</w:t>
      </w:r>
      <w:r>
        <w:rPr>
          <w:rFonts w:hint="eastAsia" w:asciiTheme="minorEastAsia" w:hAnsiTheme="minorEastAsia" w:cstheme="minorEastAsia"/>
          <w:lang w:val="en-US" w:eastAsia="zh-CN"/>
        </w:rPr>
        <w:t>是“模型内”的正式统计检验；</w:t>
      </w:r>
    </w:p>
    <w:p w14:paraId="4C359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 xml:space="preserve">2. </w:t>
      </w:r>
      <w:r>
        <w:rPr>
          <w:rFonts w:hint="eastAsia" w:asciiTheme="minorEastAsia" w:hAnsiTheme="minorEastAsia" w:cstheme="minorEastAsia"/>
          <w:lang w:val="en-US" w:eastAsia="zh-CN"/>
        </w:rPr>
        <w:t>cloglog 图是“模型外”的结构性可视诊断。</w:t>
      </w:r>
    </w:p>
    <w:p w14:paraId="3BD48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表1</w:t>
      </w:r>
      <w:r>
        <w:rPr>
          <w:rFonts w:hint="default" w:asciiTheme="minorEastAsia" w:hAnsiTheme="minorEastAsia" w:cstheme="minorEastAsia"/>
          <w:lang w:val="en-US" w:eastAsia="zh-CN"/>
        </w:rPr>
        <w:t xml:space="preserve">. </w:t>
      </w:r>
      <w:r>
        <w:rPr>
          <w:rFonts w:hint="eastAsia" w:asciiTheme="minorEastAsia" w:hAnsiTheme="minorEastAsia" w:cstheme="minorEastAsia"/>
          <w:lang w:val="en-US" w:eastAsia="zh-CN"/>
        </w:rPr>
        <w:t>Cox PH假设检验方法对比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3271"/>
        <w:gridCol w:w="3326"/>
      </w:tblGrid>
      <w:tr w14:paraId="291D22D2">
        <w:trPr>
          <w:trHeight w:val="336" w:hRule="atLeast"/>
        </w:trPr>
        <w:tc>
          <w:tcPr>
            <w:tcW w:w="112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1E5D9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191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8458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cox.zph()（Schoenfeld残差检验）</w:t>
            </w:r>
          </w:p>
        </w:tc>
        <w:tc>
          <w:tcPr>
            <w:tcW w:w="19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6F30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cloglog图（log(-log S(t)))</w:t>
            </w:r>
          </w:p>
        </w:tc>
      </w:tr>
      <w:tr w14:paraId="0BD72725">
        <w:trPr>
          <w:trHeight w:val="336" w:hRule="atLeast"/>
        </w:trPr>
        <w:tc>
          <w:tcPr>
            <w:tcW w:w="112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60CD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191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27D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正式统计检验</w:t>
            </w:r>
          </w:p>
        </w:tc>
        <w:tc>
          <w:tcPr>
            <w:tcW w:w="19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608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图形诊断方法</w:t>
            </w:r>
          </w:p>
        </w:tc>
      </w:tr>
      <w:tr w14:paraId="1FEE02D4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2DB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依赖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BDFE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先拟合Cox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A20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基于survfit()</w:t>
            </w:r>
          </w:p>
        </w:tc>
      </w:tr>
      <w:tr w14:paraId="4200C413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1DB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782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Schoenfeld残差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010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KM分组生存曲线</w:t>
            </w:r>
          </w:p>
        </w:tc>
      </w:tr>
      <w:tr w14:paraId="3785925C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294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检验的核心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386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协变量效应是否随时间变化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8BA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log累积风险是否随log(time)平行</w:t>
            </w:r>
          </w:p>
        </w:tc>
      </w:tr>
      <w:tr w14:paraId="7C8C27E4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86C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检验对象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92DA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每个协变量 + 全局检验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424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通常针对分组变量</w:t>
            </w:r>
          </w:p>
        </w:tc>
      </w:tr>
      <w:tr w14:paraId="6C5CC041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992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输出形式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567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χ²、df、p 值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FBD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曲线是否“近似平行”</w:t>
            </w:r>
          </w:p>
        </w:tc>
      </w:tr>
      <w:tr w14:paraId="24DDB928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808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显著性水平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3465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 值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4031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无，主观判断</w:t>
            </w:r>
          </w:p>
        </w:tc>
      </w:tr>
      <w:tr w14:paraId="4B2DEC86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B8B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友好度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141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中（需解释残差）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05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高（直观）</w:t>
            </w:r>
          </w:p>
        </w:tc>
      </w:tr>
      <w:tr w14:paraId="62BD6028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D99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高维模型适用性</w:t>
            </w:r>
          </w:p>
        </w:tc>
        <w:tc>
          <w:tcPr>
            <w:tcW w:w="19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56F6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很强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CFC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很弱</w:t>
            </w:r>
          </w:p>
        </w:tc>
      </w:tr>
      <w:tr w14:paraId="2F931609">
        <w:trPr>
          <w:trHeight w:val="336" w:hRule="atLeast"/>
        </w:trPr>
        <w:tc>
          <w:tcPr>
            <w:tcW w:w="112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988D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学术规范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DF0F7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标准做法，论文常用</w:t>
            </w:r>
          </w:p>
        </w:tc>
        <w:tc>
          <w:tcPr>
            <w:tcW w:w="19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F09B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辅助证据，少单独报告</w:t>
            </w:r>
          </w:p>
        </w:tc>
      </w:tr>
    </w:tbl>
    <w:p w14:paraId="13A6A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cstheme="minorEastAsia"/>
          <w:lang w:val="en-US" w:eastAsia="zh-CN"/>
        </w:rPr>
      </w:pPr>
    </w:p>
    <w:p w14:paraId="48E26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表2</w:t>
      </w:r>
      <w:r>
        <w:rPr>
          <w:rFonts w:hint="default" w:asciiTheme="minorEastAsia" w:hAnsiTheme="minorEastAsia" w:cstheme="minorEastAsia"/>
          <w:lang w:val="en-US" w:eastAsia="zh-CN"/>
        </w:rPr>
        <w:t xml:space="preserve">. </w:t>
      </w:r>
      <w:r>
        <w:rPr>
          <w:rFonts w:hint="eastAsia" w:asciiTheme="minorEastAsia" w:hAnsiTheme="minorEastAsia" w:cstheme="minorEastAsia"/>
          <w:lang w:val="en-US" w:eastAsia="zh-CN"/>
        </w:rPr>
        <w:t>Cox PH假设检验方法互补关系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1822"/>
        <w:gridCol w:w="4228"/>
      </w:tblGrid>
      <w:tr w14:paraId="49C14772">
        <w:trPr>
          <w:trHeight w:val="336" w:hRule="atLeast"/>
        </w:trPr>
        <w:tc>
          <w:tcPr>
            <w:tcW w:w="14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4DA7AD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10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E2349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更推荐的方法</w:t>
            </w:r>
          </w:p>
        </w:tc>
        <w:tc>
          <w:tcPr>
            <w:tcW w:w="248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2020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36C56BED">
        <w:trPr>
          <w:trHeight w:val="336" w:hRule="atLeast"/>
        </w:trPr>
        <w:tc>
          <w:tcPr>
            <w:tcW w:w="144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FC2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入门</w:t>
            </w:r>
          </w:p>
        </w:tc>
        <w:tc>
          <w:tcPr>
            <w:tcW w:w="10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7E4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cloglog图</w:t>
            </w:r>
          </w:p>
        </w:tc>
        <w:tc>
          <w:tcPr>
            <w:tcW w:w="248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DEC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直观、可视化、帮助理解PH含义</w:t>
            </w:r>
          </w:p>
        </w:tc>
      </w:tr>
      <w:tr w14:paraId="01C5ADB8">
        <w:trPr>
          <w:trHeight w:val="336" w:hRule="atLeast"/>
        </w:trPr>
        <w:tc>
          <w:tcPr>
            <w:tcW w:w="14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24E8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单一二分类变量</w:t>
            </w:r>
          </w:p>
        </w:tc>
        <w:tc>
          <w:tcPr>
            <w:tcW w:w="10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A5EC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二者结合</w:t>
            </w:r>
          </w:p>
        </w:tc>
        <w:tc>
          <w:tcPr>
            <w:tcW w:w="24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DD1D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图形 + p 值，逻辑闭环</w:t>
            </w:r>
          </w:p>
        </w:tc>
      </w:tr>
      <w:tr w14:paraId="7BC1CB0C">
        <w:trPr>
          <w:trHeight w:val="336" w:hRule="atLeast"/>
        </w:trPr>
        <w:tc>
          <w:tcPr>
            <w:tcW w:w="14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223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多协变量Cox模型</w:t>
            </w:r>
          </w:p>
        </w:tc>
        <w:tc>
          <w:tcPr>
            <w:tcW w:w="10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ACE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cox.zph()</w:t>
            </w:r>
          </w:p>
        </w:tc>
        <w:tc>
          <w:tcPr>
            <w:tcW w:w="24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2B9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图形法不可扩展</w:t>
            </w:r>
          </w:p>
        </w:tc>
      </w:tr>
      <w:tr w14:paraId="1957E08E">
        <w:trPr>
          <w:trHeight w:val="336" w:hRule="atLeast"/>
        </w:trPr>
        <w:tc>
          <w:tcPr>
            <w:tcW w:w="14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9419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论文正式报告</w:t>
            </w:r>
          </w:p>
        </w:tc>
        <w:tc>
          <w:tcPr>
            <w:tcW w:w="10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C94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cox.zph()</w:t>
            </w:r>
          </w:p>
        </w:tc>
        <w:tc>
          <w:tcPr>
            <w:tcW w:w="24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7E25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可量化、可复现</w:t>
            </w:r>
          </w:p>
        </w:tc>
      </w:tr>
      <w:tr w14:paraId="67E6CD90">
        <w:trPr>
          <w:trHeight w:val="336" w:hRule="atLeast"/>
        </w:trPr>
        <w:tc>
          <w:tcPr>
            <w:tcW w:w="14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3756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 值接近 0.05</w:t>
            </w:r>
          </w:p>
        </w:tc>
        <w:tc>
          <w:tcPr>
            <w:tcW w:w="10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D1B5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两者同时看</w:t>
            </w:r>
          </w:p>
        </w:tc>
        <w:tc>
          <w:tcPr>
            <w:tcW w:w="248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CB38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避免“机械拒绝/接受”</w:t>
            </w:r>
          </w:p>
        </w:tc>
      </w:tr>
    </w:tbl>
    <w:p w14:paraId="6D5C80F8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br w:type="page"/>
      </w:r>
    </w:p>
    <w:p w14:paraId="60FFA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Note.</w:t>
      </w:r>
    </w:p>
    <w:p w14:paraId="07D167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1. cox.zph()</w:t>
      </w:r>
    </w:p>
    <w:p w14:paraId="58E32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cox_fit &lt;- coxph(surv_obj ~ sex, data = lung, method = "efron") </w:t>
      </w:r>
    </w:p>
    <w:p w14:paraId="74638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cox.zph(cox_fit)  </w:t>
      </w:r>
    </w:p>
    <w:p w14:paraId="15379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>plot(cox.zph(cox_fit))  # Plot1</w:t>
      </w:r>
    </w:p>
    <w:p w14:paraId="7086E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</w:p>
    <w:p w14:paraId="5764F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Result: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default" w:asciiTheme="minorEastAsia" w:hAnsiTheme="minorEastAsia" w:cstheme="minorEastAsia"/>
          <w:lang w:val="el-GR" w:eastAsia="zh-CN"/>
        </w:rPr>
        <w:t>χ</w:t>
      </w:r>
      <w:r>
        <w:rPr>
          <w:rFonts w:hint="eastAsia" w:asciiTheme="minorEastAsia" w:hAnsiTheme="minorEastAsia" w:cstheme="minorEastAsia"/>
          <w:vertAlign w:val="subscript"/>
          <w:lang w:val="el-GR" w:eastAsia="zh-CN"/>
        </w:rPr>
        <w:t>（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1）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 </w:t>
      </w:r>
      <w:r>
        <w:rPr>
          <w:rFonts w:hint="default" w:asciiTheme="minorEastAsia" w:hAnsiTheme="minorEastAsia" w:cstheme="minorEastAsia"/>
          <w:vertAlign w:val="baseline"/>
          <w:lang w:val="en-US" w:eastAsia="zh-CN"/>
        </w:rPr>
        <w:t>.091</w:t>
      </w:r>
    </w:p>
    <w:p w14:paraId="674DA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</w:pPr>
      <w:r>
        <w:drawing>
          <wp:inline distT="0" distB="0" distL="114300" distR="114300">
            <wp:extent cx="2526665" cy="1144905"/>
            <wp:effectExtent l="0" t="0" r="13335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6530" cy="1307465"/>
            <wp:effectExtent l="0" t="0" r="127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2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>Plot1. plot(cox.zph())</w:t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/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>Plot2. Log-Log plot</w:t>
      </w:r>
    </w:p>
    <w:p w14:paraId="5EF5EC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left"/>
        <w:textAlignment w:val="auto"/>
        <w:rPr>
          <w:rFonts w:hint="default" w:ascii="宋体" w:hAnsi="宋体" w:eastAsia="宋体" w:cs="宋体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</w:p>
    <w:p w14:paraId="6F78CE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cloglog</w:t>
      </w:r>
    </w:p>
    <w:p w14:paraId="705D0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>surv.fit.check &lt;- survfit(surv_obj ~ sex, data = lung)</w:t>
      </w:r>
    </w:p>
    <w:p w14:paraId="7A4A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>plot(surv.fit.check,</w:t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ab/>
        <w:t># Plot2</w:t>
      </w:r>
      <w:bookmarkStart w:id="0" w:name="_GoBack"/>
      <w:bookmarkEnd w:id="0"/>
    </w:p>
    <w:p w14:paraId="79BED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     fun = "cloglog", col = c("brown3", "dodgerblue3"), </w:t>
      </w:r>
    </w:p>
    <w:p w14:paraId="120DF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     lwd = 2, cex.lab = 1.2, cex.main = 1.3, </w:t>
      </w:r>
    </w:p>
    <w:p w14:paraId="7CEEB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     main = "Log-Log Plot for sex", xlab = "Log(Time)", ylab = "Log(-log(S(t)))", )</w:t>
      </w:r>
    </w:p>
    <w:p w14:paraId="172EB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legend("topleft", col = c("brown3", "dodgerblue3"), </w:t>
      </w:r>
    </w:p>
    <w:p w14:paraId="32903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jc w:val="left"/>
        <w:textAlignment w:val="auto"/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 w:eastAsia="zh-CN"/>
        </w:rPr>
        <w:t xml:space="preserve">       lwd = 2, bty = "n", legend = c("sex = 1", "sex = 2") )</w:t>
      </w:r>
    </w:p>
    <w:p w14:paraId="1C02D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FCC944"/>
    <w:rsid w:val="9DFCC944"/>
    <w:rsid w:val="DFF6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2026-01-29T20:23:00Z</dcterms:created>
  <dc:creator>王宁</dc:creator>
  <cp:lastModifiedBy>王宁</cp:lastModifiedBy>
  <dcterms:modified xsi:type="dcterms:W3CDTF">2026-01-29T20:56:33Z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FFA615E1A74F08AB48517B6986E54810_41</vt:lpwstr>
  </property>
</Properties>
</file>