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8E111">
      <w:pPr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cstheme="minorEastAsia"/>
          <w:b/>
          <w:bCs/>
          <w:lang w:val="en-US"/>
        </w:rPr>
        <w:t xml:space="preserve">DataSet: </w:t>
      </w:r>
      <w:r>
        <w:rPr>
          <w:rFonts w:hint="eastAsia" w:asciiTheme="minorEastAsia" w:hAnsiTheme="minorEastAsia" w:eastAsiaTheme="minorEastAsia" w:cstheme="minorEastAsia"/>
          <w:b/>
          <w:bCs/>
        </w:rPr>
        <w:t>NCCTG Lung Cancer Data</w:t>
      </w:r>
    </w:p>
    <w:p w14:paraId="1C8A0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Description</w:t>
      </w:r>
    </w:p>
    <w:p w14:paraId="2F714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Survival in patients with advanced lung cancer from the North Central Cancer Treatment Group. Performance scores rate how well the patient can perform usual daily activities.</w:t>
      </w:r>
    </w:p>
    <w:p w14:paraId="24F01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Format</w:t>
      </w:r>
    </w:p>
    <w:p w14:paraId="733BE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inst: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Institution code</w:t>
      </w:r>
    </w:p>
    <w:p w14:paraId="65EBC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time: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default" w:asciiTheme="minorEastAsia" w:hAnsiTheme="minorEastAsia" w:cstheme="minorEastAsia"/>
          <w:b w:val="0"/>
          <w:bCs w:val="0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Survival time in days</w:t>
      </w:r>
    </w:p>
    <w:p w14:paraId="0F55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status:</w:t>
      </w:r>
      <w:r>
        <w:rPr>
          <w:rFonts w:hint="default" w:asciiTheme="minorEastAsia" w:hAnsiTheme="minorEastAsia" w:cstheme="minorEastAsia"/>
          <w:b/>
          <w:bCs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>censoring status 1=censored, 2=dead</w:t>
      </w:r>
    </w:p>
    <w:p w14:paraId="30343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age: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Age in years</w:t>
      </w:r>
    </w:p>
    <w:p w14:paraId="358CC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sex: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Male=1 Female=2</w:t>
      </w:r>
    </w:p>
    <w:p w14:paraId="1D64F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ph.ecog:</w:t>
      </w:r>
      <w:r>
        <w:rPr>
          <w:rFonts w:hint="default" w:asciiTheme="minorEastAsia" w:hAnsiTheme="minorEastAsia" w:cstheme="minorEastAsia"/>
          <w:b w:val="0"/>
          <w:bCs w:val="0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 xml:space="preserve">ECOG performance score as rated by the physician.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</w:rPr>
        <w:t>0=asymptomatic, 1= symptomatic but completely ambulatory, 2= in bed &lt;50% of the day, 3= in bed &gt; 50% of the day but not bedbound, 4 = bedbound</w:t>
      </w:r>
    </w:p>
    <w:p w14:paraId="1F99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ph.karno: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Karnofsky performance score (bad=0-good=100) rated by physician</w:t>
      </w:r>
    </w:p>
    <w:p w14:paraId="5BF14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pat.karno: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default" w:asciiTheme="minorEastAsia" w:hAnsiTheme="minorEastAsia" w:cstheme="minorEastAsia"/>
          <w:b w:val="0"/>
          <w:bCs w:val="0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Karnofsky performance score as rated by patient</w:t>
      </w:r>
    </w:p>
    <w:p w14:paraId="0CFC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meal.cal: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Calories consumed at meals</w:t>
      </w:r>
    </w:p>
    <w:p w14:paraId="617D6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wt.loss:</w:t>
      </w:r>
      <w:r>
        <w:rPr>
          <w:rFonts w:hint="default" w:asciiTheme="minorEastAsia" w:hAnsiTheme="minorEastAsia" w:cstheme="minorEastAsia"/>
          <w:b w:val="0"/>
          <w:bCs w:val="0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Weight loss in last six months (pounds)</w:t>
      </w:r>
    </w:p>
    <w:p w14:paraId="59A9F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Note</w:t>
      </w:r>
    </w:p>
    <w:p w14:paraId="6CEC8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The use of 1/2 for alive/dead instead of the usual 0/1 is a historical footnote. For data contained on punch cards, IBM 360 Fortran treated blank as a zero, which led to a policy within the section of Biostatistics to never use "0" as a data value since one could not distinguish it from a missing value. The policy became a habit, as is often the case; and the 1/2 coding endured long beyond the demise of punch cards and Fortran.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7D504"/>
    <w:rsid w:val="3277D504"/>
    <w:rsid w:val="7D9F320B"/>
    <w:rsid w:val="CDF3D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1018</Characters>
  <Lines>0</Lines>
  <Paragraphs>0</Paragraphs>
  <TotalTime>2</TotalTime>
  <ScaleCrop>false</ScaleCrop>
  <LinksUpToDate>false</LinksUpToDate>
  <CharactersWithSpaces>1222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2026-01-28T02:51:00Z</dcterms:created>
  <dc:creator>王宁</dc:creator>
  <cp:lastModifiedBy>王宁</cp:lastModifiedBy>
  <dcterms:modified xsi:type="dcterms:W3CDTF">2026-01-27T19:02:57Z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D37FD2EC1279D823C89878695DE3A3DC_41</vt:lpwstr>
  </property>
</Properties>
</file>