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斜方差案例分析（斜率不齐）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3364.96</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表1斜方差回归斜率齐性检验结果显示，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斜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w:t>
      </w:r>
      <w:r>
        <w:rPr>
          <w:rFonts w:hint="default" w:ascii="方正仿宋_GB2312" w:hAnsi="方正仿宋_GB2312" w:eastAsia="方正仿宋_GB2312" w:cs="方正仿宋_GB2312"/>
          <w:sz w:val="21"/>
          <w:szCs w:val="21"/>
          <w:lang w:val="en-US" w:eastAsia="zh-CN"/>
        </w:rPr>
        <w:t>R-Sq = 0.997 , F(3,56)=6627.059 , p &lt; .001</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 xml:space="preserve"> R-Sq</w:t>
      </w:r>
      <w:r>
        <w:rPr>
          <w:rFonts w:hint="eastAsia" w:ascii="方正仿宋_GB2312" w:hAnsi="方正仿宋_GB2312" w:eastAsia="方正仿宋_GB2312" w:cs="方正仿宋_GB2312"/>
          <w:sz w:val="21"/>
          <w:szCs w:val="21"/>
          <w:lang w:val="en-US" w:eastAsia="zh-CN"/>
        </w:rPr>
        <w:t>显著：</w:t>
      </w:r>
      <w:r>
        <w:rPr>
          <w:rFonts w:hint="default" w:ascii="宋体" w:hAnsi="宋体" w:eastAsia="宋体" w:cs="宋体"/>
          <w:sz w:val="18"/>
          <w:szCs w:val="18"/>
          <w:lang w:val="en-US" w:eastAsia="zh-CN"/>
        </w:rPr>
        <w:t>F(1 , 56) = 3469.539 , p &lt; .001.</w:t>
      </w:r>
      <w:r>
        <w:rPr>
          <w:rFonts w:hint="eastAsia" w:ascii="方正仿宋_GB2312" w:hAnsi="方正仿宋_GB2312" w:eastAsia="方正仿宋_GB2312" w:cs="方正仿宋_GB2312"/>
          <w:sz w:val="21"/>
          <w:szCs w:val="21"/>
          <w:lang w:val="en-US" w:eastAsia="zh-CN"/>
        </w:rPr>
        <w:t>）。</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7"/>
        <w:gridCol w:w="1217"/>
        <w:gridCol w:w="1217"/>
        <w:gridCol w:w="1217"/>
        <w:gridCol w:w="1217"/>
        <w:gridCol w:w="1217"/>
        <w:gridCol w:w="1217"/>
      </w:tblGrid>
      <w:tr w14:paraId="185A0EE5">
        <w:trPr>
          <w:trHeight w:val="352" w:hRule="atLeast"/>
        </w:trPr>
        <w:tc>
          <w:tcPr>
            <w:tcW w:w="714"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714"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714"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714"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714"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14"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714"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714"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714"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714"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714"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714"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714"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714"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714"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714"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714"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14"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714"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714"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714"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714"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714"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714"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714"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.001）：低前测水平（中心化后取值-1.739，对应原始分4.6分，低于样本均值1个标准差）：实验组后测得分显著高于对照组2.306分，95%CI[2.254, 2.357]；中等前测水平（中心化后取值0，对应原始分6.3分，为样本均值水平）：实验组后测得分显著高于对照组1.233分，95%CI[1.197, 1.270]；高前测水平（中心化后取值1.739，对应原始分8.0分，高于样本均值1个标准差）：实验组后测得分仍显著高于对照组0.161分，95%CI[0.110,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1DED62E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bCs/>
          <w:i w:val="0"/>
          <w:iCs w:val="0"/>
          <w:sz w:val="18"/>
          <w:szCs w:val="18"/>
          <w:lang w:val="en-US" w:eastAsia="zh-CN"/>
        </w:rPr>
      </w:pPr>
    </w:p>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w:t>
      </w:r>
      <w:bookmarkStart w:id="0" w:name="_GoBack"/>
      <w:bookmarkEnd w:id="0"/>
      <w:r>
        <w:rPr>
          <w:rFonts w:hint="eastAsia" w:ascii="宋体" w:hAnsi="宋体" w:eastAsia="宋体" w:cs="宋体"/>
          <w:i/>
          <w:iCs/>
          <w:sz w:val="18"/>
          <w:szCs w:val="18"/>
          <w:lang w:val="en-US" w:eastAsia="zh-CN"/>
        </w:rPr>
        <w:t>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Johnson-Neyman法分析结果表明：基础薄弱/中等学生段（原始前测&lt;8.01分，对应Pre_MC&lt;1.91）：占总样本的81.7%，组间效应显著为正（p &lt; .05），实验组后测得分显著高于对照组，提升幅度为0.05~3.15分，前测基础越差提升效果越明显；过渡无差异区间（原始前测8.01~8.19分，对应Pre_MC在[1.91, 2.09]区间内）：仅占总样本的1.7%，组间效应无统计学显著性（p ≥ .05），两种教学法效果无差异；基础极优学生段（原始前测&gt;8.19分，对应Pre_MC&gt;2.09）：占总样本的16.6%，组间效应显著为负（p &lt; .05），对照组后测得分显著高于实验组，差值为0.06~0.55分，对于前测基础极好的学生，对照组效果更优。</w:t>
      </w:r>
    </w:p>
    <w:p w14:paraId="537176BF">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BBDE9A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225</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2026-06-19T19:44:00Z</dcterms:created>
  <dc:creator>王宁</dc:creator>
  <cp:lastModifiedBy>王宁</cp:lastModifiedBy>
  <dcterms:modified xsi:type="dcterms:W3CDTF">2026-06-19T17:55:41Z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4F604780EFA4CA2711BB346AD44C3896_41</vt:lpwstr>
  </property>
</Properties>
</file>