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D99CA1">
      <w:pPr>
        <w:jc w:val="center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表1 实验组与对照组50米成绩实验前、后对比分析表</w:t>
      </w:r>
    </w:p>
    <w:tbl>
      <w:tblPr>
        <w:tblStyle w:val="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 w14:paraId="0361DA9F">
        <w:tc>
          <w:tcPr>
            <w:tcW w:w="83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685A759A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Group</w:t>
            </w:r>
          </w:p>
        </w:tc>
        <w:tc>
          <w:tcPr>
            <w:tcW w:w="83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83EAA9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Pre</w:t>
            </w:r>
          </w:p>
        </w:tc>
        <w:tc>
          <w:tcPr>
            <w:tcW w:w="83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D57F73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Post</w:t>
            </w:r>
          </w:p>
        </w:tc>
        <w:tc>
          <w:tcPr>
            <w:tcW w:w="83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779F6F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  <w:t>t</w:t>
            </w:r>
          </w:p>
        </w:tc>
        <w:tc>
          <w:tcPr>
            <w:tcW w:w="83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4DDFD94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  <w:t>p</w:t>
            </w:r>
          </w:p>
        </w:tc>
        <w:tc>
          <w:tcPr>
            <w:tcW w:w="83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991E25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  <w:t>d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superscript"/>
                <w:lang w:val="en-US" w:eastAsia="zh-CN"/>
              </w:rPr>
              <w:t>1</w:t>
            </w:r>
          </w:p>
        </w:tc>
      </w:tr>
      <w:tr w14:paraId="6A690278">
        <w:tc>
          <w:tcPr>
            <w:tcW w:w="833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11392FA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Treatment</w:t>
            </w:r>
          </w:p>
        </w:tc>
        <w:tc>
          <w:tcPr>
            <w:tcW w:w="833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37D79B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8.70</w:t>
            </w:r>
            <m:oMath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color w:val="000000"/>
                  <w:sz w:val="21"/>
                  <w:szCs w:val="21"/>
                  <w:vertAlign w:val="baseline"/>
                  <w:lang w:val="en-US"/>
                </w:rPr>
                <m:t>±</m:t>
              </m:r>
            </m:oMath>
            <w:r>
              <w:rPr>
                <w:rFonts w:hint="eastAsia" w:asciiTheme="minorEastAsia" w:hAnsiTheme="minorEastAsia" w:eastAsiaTheme="minorEastAsia" w:cstheme="minorEastAsia"/>
                <w:i w:val="0"/>
                <w:color w:val="000000"/>
                <w:sz w:val="21"/>
                <w:szCs w:val="21"/>
                <w:vertAlign w:val="baseline"/>
                <w:lang w:val="en-US"/>
              </w:rPr>
              <w:t>1.14</w:t>
            </w:r>
          </w:p>
        </w:tc>
        <w:tc>
          <w:tcPr>
            <w:tcW w:w="833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B8A41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7.77</w:t>
            </w:r>
            <m:oMath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color w:val="000000"/>
                  <w:sz w:val="21"/>
                  <w:szCs w:val="21"/>
                  <w:vertAlign w:val="baseline"/>
                  <w:lang w:val="en-US"/>
                </w:rPr>
                <m:t>±</m:t>
              </m:r>
            </m:oMath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color w:val="000000"/>
                <w:sz w:val="21"/>
                <w:szCs w:val="21"/>
                <w:vertAlign w:val="baseline"/>
                <w:lang w:val="en-US"/>
              </w:rPr>
              <w:t>0.89</w:t>
            </w:r>
          </w:p>
        </w:tc>
        <w:tc>
          <w:tcPr>
            <w:tcW w:w="833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564388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3.04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superscript"/>
                <w:lang w:val="en-US" w:eastAsia="zh-CN"/>
              </w:rPr>
              <w:t>**</w:t>
            </w:r>
          </w:p>
        </w:tc>
        <w:tc>
          <w:tcPr>
            <w:tcW w:w="833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9A9D6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0.007</w:t>
            </w:r>
          </w:p>
        </w:tc>
        <w:tc>
          <w:tcPr>
            <w:tcW w:w="833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23A836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0.68</w:t>
            </w:r>
          </w:p>
        </w:tc>
      </w:tr>
      <w:tr w14:paraId="04B15D93"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732A274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Control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9B3AF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8.79</w:t>
            </w:r>
            <m:oMath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color w:val="000000"/>
                  <w:sz w:val="21"/>
                  <w:szCs w:val="21"/>
                  <w:vertAlign w:val="baseline"/>
                  <w:lang w:val="en-US"/>
                </w:rPr>
                <m:t>±</m:t>
              </m:r>
            </m:oMath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color w:val="000000"/>
                <w:sz w:val="21"/>
                <w:szCs w:val="21"/>
                <w:vertAlign w:val="baseline"/>
                <w:lang w:val="en-US"/>
              </w:rPr>
              <w:t>0.91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F16A04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8.63</w:t>
            </w:r>
            <m:oMath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color w:val="000000"/>
                  <w:sz w:val="21"/>
                  <w:szCs w:val="21"/>
                  <w:vertAlign w:val="baseline"/>
                  <w:lang w:val="en-US"/>
                </w:rPr>
                <m:t>±</m:t>
              </m:r>
            </m:oMath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color w:val="000000"/>
                <w:sz w:val="21"/>
                <w:szCs w:val="21"/>
                <w:vertAlign w:val="baseline"/>
                <w:lang w:val="en-US"/>
              </w:rPr>
              <w:t>0.78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09DE65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0.52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A3038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0.61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9A5F3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0.12</w:t>
            </w:r>
          </w:p>
        </w:tc>
      </w:tr>
      <w:tr w14:paraId="571E8CD6"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32D7BE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  <w:t>t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5CE64D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-0.28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8E6E07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-3.25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superscript"/>
                <w:lang w:val="en-US" w:eastAsia="zh-CN"/>
              </w:rPr>
              <w:t>**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4FFBFC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714A69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FF40F7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05C807C7">
        <w:tc>
          <w:tcPr>
            <w:tcW w:w="833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031A2F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  <w:t>p</w:t>
            </w:r>
          </w:p>
        </w:tc>
        <w:tc>
          <w:tcPr>
            <w:tcW w:w="833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F4873D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0.78</w:t>
            </w:r>
          </w:p>
        </w:tc>
        <w:tc>
          <w:tcPr>
            <w:tcW w:w="833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3B25D64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0.002</w:t>
            </w:r>
          </w:p>
        </w:tc>
        <w:tc>
          <w:tcPr>
            <w:tcW w:w="833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CBC88E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543EC9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9EB6EFA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 w14:paraId="3951D84F">
      <w:pP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注：</w:t>
      </w:r>
      <w:r>
        <w:rPr>
          <w:rFonts w:hint="eastAsia" w:asciiTheme="minorEastAsia" w:hAnsiTheme="minorEastAsia" w:eastAsiaTheme="minorEastAsia" w:cstheme="minorEastAsia"/>
          <w:b w:val="0"/>
          <w:color w:val="000000"/>
          <w:sz w:val="21"/>
          <w:szCs w:val="21"/>
          <w:vertAlign w:val="superscript"/>
          <w:lang w:val="en-US" w:eastAsia="zh-CN"/>
        </w:rPr>
        <w:t>*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:p&lt;0.05;</w:t>
      </w:r>
      <w:r>
        <w:rPr>
          <w:rFonts w:hint="eastAsia" w:asciiTheme="minorEastAsia" w:hAnsiTheme="minorEastAsia" w:eastAsiaTheme="minorEastAsia" w:cstheme="minorEastAsia"/>
          <w:b w:val="0"/>
          <w:color w:val="000000"/>
          <w:sz w:val="21"/>
          <w:szCs w:val="21"/>
          <w:vertAlign w:val="superscript"/>
          <w:lang w:val="en-US" w:eastAsia="zh-CN"/>
        </w:rPr>
        <w:t>**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:p&lt;0.01;</w:t>
      </w:r>
      <w:r>
        <w:rPr>
          <w:rFonts w:hint="eastAsia" w:asciiTheme="minorEastAsia" w:hAnsiTheme="minorEastAsia" w:eastAsiaTheme="minorEastAsia" w:cstheme="minorEastAsia"/>
          <w:b w:val="0"/>
          <w:color w:val="000000"/>
          <w:sz w:val="21"/>
          <w:szCs w:val="21"/>
          <w:vertAlign w:val="superscript"/>
          <w:lang w:val="en-US" w:eastAsia="zh-CN"/>
        </w:rPr>
        <w:t>***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:p&lt;0.001</w:t>
      </w:r>
    </w:p>
    <w:p w14:paraId="4C6B3626">
      <w:pPr>
        <w:ind w:firstLine="420" w:firstLineChars="0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  <w:vertAlign w:val="superscript"/>
          <w:lang w:val="en-US" w:eastAsia="zh-CN"/>
        </w:rPr>
        <w:t>1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:Cohen’s d:Small Effect-Size:0.2;Medium Effect-Size:0.5;Large Effect-Size:0.8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.</w:t>
      </w:r>
    </w:p>
    <w:p w14:paraId="41F19243">
      <w:pPr>
        <w:ind w:firstLine="420" w:firstLineChars="0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</w:p>
    <w:p w14:paraId="6A4A1857">
      <w:pPr>
        <w:jc w:val="center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表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2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 实验组与对照组50米成绩实验前、后对比分析表</w:t>
      </w:r>
    </w:p>
    <w:tbl>
      <w:tblPr>
        <w:tblStyle w:val="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 w14:paraId="22427278">
        <w:tc>
          <w:tcPr>
            <w:tcW w:w="83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05832BA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Group</w:t>
            </w:r>
          </w:p>
        </w:tc>
        <w:tc>
          <w:tcPr>
            <w:tcW w:w="83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79FA8D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Pre</w:t>
            </w:r>
          </w:p>
        </w:tc>
        <w:tc>
          <w:tcPr>
            <w:tcW w:w="83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5DCCB3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Post</w:t>
            </w:r>
          </w:p>
        </w:tc>
        <w:tc>
          <w:tcPr>
            <w:tcW w:w="83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7B77A5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  <w:t>t</w:t>
            </w:r>
          </w:p>
        </w:tc>
        <w:tc>
          <w:tcPr>
            <w:tcW w:w="83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AD9E2F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  <w:t>p</w:t>
            </w:r>
          </w:p>
        </w:tc>
        <w:tc>
          <w:tcPr>
            <w:tcW w:w="83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B5B0114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  <w:t>d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superscript"/>
                <w:lang w:val="en-US" w:eastAsia="zh-CN"/>
              </w:rPr>
              <w:t>1</w:t>
            </w:r>
          </w:p>
        </w:tc>
      </w:tr>
      <w:tr w14:paraId="031E27EC">
        <w:tc>
          <w:tcPr>
            <w:tcW w:w="833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EF2AE89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Treatment</w:t>
            </w:r>
          </w:p>
        </w:tc>
        <w:tc>
          <w:tcPr>
            <w:tcW w:w="833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9E82B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8.70</w:t>
            </w:r>
            <m:oMath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color w:val="000000"/>
                  <w:sz w:val="21"/>
                  <w:szCs w:val="21"/>
                  <w:vertAlign w:val="baseline"/>
                  <w:lang w:val="en-US"/>
                </w:rPr>
                <m:t>±</m:t>
              </m:r>
            </m:oMath>
            <w:r>
              <w:rPr>
                <w:rFonts w:hint="eastAsia" w:asciiTheme="minorEastAsia" w:hAnsiTheme="minorEastAsia" w:eastAsiaTheme="minorEastAsia" w:cstheme="minorEastAsia"/>
                <w:i w:val="0"/>
                <w:color w:val="000000"/>
                <w:sz w:val="21"/>
                <w:szCs w:val="21"/>
                <w:vertAlign w:val="baseline"/>
                <w:lang w:val="en-US"/>
              </w:rPr>
              <w:t>1.14</w:t>
            </w:r>
          </w:p>
        </w:tc>
        <w:tc>
          <w:tcPr>
            <w:tcW w:w="833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68F17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7.77</w:t>
            </w:r>
            <m:oMath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color w:val="000000"/>
                  <w:sz w:val="21"/>
                  <w:szCs w:val="21"/>
                  <w:vertAlign w:val="baseline"/>
                  <w:lang w:val="en-US"/>
                </w:rPr>
                <m:t>±</m:t>
              </m:r>
            </m:oMath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color w:val="000000"/>
                <w:sz w:val="21"/>
                <w:szCs w:val="21"/>
                <w:vertAlign w:val="baseline"/>
                <w:lang w:val="en-US"/>
              </w:rPr>
              <w:t>0.89</w:t>
            </w:r>
          </w:p>
        </w:tc>
        <w:tc>
          <w:tcPr>
            <w:tcW w:w="833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8DBE6A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3.04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superscript"/>
                <w:lang w:val="en-US" w:eastAsia="zh-CN"/>
              </w:rPr>
              <w:t>**</w:t>
            </w:r>
          </w:p>
        </w:tc>
        <w:tc>
          <w:tcPr>
            <w:tcW w:w="833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14C55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0.007</w:t>
            </w:r>
          </w:p>
        </w:tc>
        <w:tc>
          <w:tcPr>
            <w:tcW w:w="833" w:type="pct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534C25B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0.68</w:t>
            </w:r>
          </w:p>
        </w:tc>
      </w:tr>
      <w:tr w14:paraId="260AE164"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0B8E46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Control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12329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8.79</w:t>
            </w:r>
            <m:oMath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color w:val="000000"/>
                  <w:sz w:val="21"/>
                  <w:szCs w:val="21"/>
                  <w:vertAlign w:val="baseline"/>
                  <w:lang w:val="en-US"/>
                </w:rPr>
                <m:t>±</m:t>
              </m:r>
            </m:oMath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color w:val="000000"/>
                <w:sz w:val="21"/>
                <w:szCs w:val="21"/>
                <w:vertAlign w:val="baseline"/>
                <w:lang w:val="en-US"/>
              </w:rPr>
              <w:t>0.91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ED94109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8.63</w:t>
            </w:r>
            <m:oMath>
              <m:r>
                <m:rPr>
                  <m:sty m:val="p"/>
                </m:rPr>
                <w:rPr>
                  <w:rFonts w:hint="eastAsia" w:ascii="DejaVu Math TeX Gyre" w:hAnsi="DejaVu Math TeX Gyre" w:eastAsiaTheme="minorEastAsia" w:cstheme="minorEastAsia"/>
                  <w:color w:val="000000"/>
                  <w:sz w:val="21"/>
                  <w:szCs w:val="21"/>
                  <w:vertAlign w:val="baseline"/>
                  <w:lang w:val="en-US"/>
                </w:rPr>
                <m:t>±</m:t>
              </m:r>
            </m:oMath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color w:val="000000"/>
                <w:sz w:val="21"/>
                <w:szCs w:val="21"/>
                <w:vertAlign w:val="baseline"/>
                <w:lang w:val="en-US"/>
              </w:rPr>
              <w:t>0.78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B16F65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0.52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7F34CD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0.61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7E76569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0.12</w:t>
            </w:r>
          </w:p>
        </w:tc>
      </w:tr>
      <w:tr w14:paraId="52DEABEE"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D40DFD">
            <w:pPr>
              <w:jc w:val="center"/>
              <w:rPr>
                <w:rFonts w:hint="default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  <w:t>t</w:t>
            </w:r>
            <w:r>
              <w:rPr>
                <w:rFonts w:hint="default" w:asciiTheme="minorEastAsia" w:hAnsi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  <w:t>/F(df1,df2)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C8447D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-0.28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DD6879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10.306(1,37)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superscript"/>
                <w:lang w:val="en-US" w:eastAsia="zh-CN"/>
              </w:rPr>
              <w:t>**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8A6022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F27F8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A4DE2C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4E5D80A7"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4880B66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  <w:t>p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5DFF8B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0.78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DDE477B">
            <w:pPr>
              <w:jc w:val="center"/>
              <w:rPr>
                <w:rFonts w:hint="default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0.00</w:t>
            </w: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3</w:t>
            </w:r>
            <w:bookmarkStart w:id="0" w:name="_GoBack"/>
            <w:bookmarkEnd w:id="0"/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4A11309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32D10A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847D6F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5AE7C126">
        <w:tc>
          <w:tcPr>
            <w:tcW w:w="833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DBFE11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m:oMathPara>
              <m:oMath>
                <m:sSubSup>
                  <m:sSubSupPr>
                    <m:ctrlPr>
                      <w:rPr>
                        <w:rFonts w:ascii="DejaVu Math TeX Gyre" w:hAnsi="DejaVu Math TeX Gyre" w:cstheme="minorEastAsia"/>
                        <w:i/>
                        <w:iCs w:val="0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sSubSupPr>
                  <m:e>
                    <m:r>
                      <m:rPr/>
                      <w:rPr>
                        <w:rFonts w:ascii="DejaVu Math TeX Gyre" w:hAnsi="DejaVu Math TeX Gyre" w:cstheme="minorEastAsia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  <m:t>η</m:t>
                    </m:r>
                    <m:ctrlPr>
                      <w:rPr>
                        <w:rFonts w:ascii="DejaVu Math TeX Gyre" w:hAnsi="DejaVu Math TeX Gyre" w:cstheme="minorEastAsia"/>
                        <w:i/>
                        <w:iCs w:val="0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DejaVu Math TeX Gyre" w:hAnsi="DejaVu Math TeX Gyre" w:cstheme="minorEastAsia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  <m:t>p</m:t>
                    </m:r>
                    <m:ctrlPr>
                      <w:rPr>
                        <w:rFonts w:ascii="DejaVu Math TeX Gyre" w:hAnsi="DejaVu Math TeX Gyre" w:cstheme="minorEastAsia"/>
                        <w:i/>
                        <w:iCs w:val="0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sub>
                  <m:sup>
                    <m:r>
                      <m:rPr/>
                      <w:rPr>
                        <w:rFonts w:hint="default" w:ascii="DejaVu Math TeX Gyre" w:hAnsi="DejaVu Math TeX Gyre" w:cstheme="minorEastAsia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  <m:t>2</m:t>
                    </m:r>
                    <m:ctrlPr>
                      <w:rPr>
                        <w:rFonts w:ascii="DejaVu Math TeX Gyre" w:hAnsi="DejaVu Math TeX Gyre" w:cstheme="minorEastAsia"/>
                        <w:i/>
                        <w:iCs w:val="0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sup>
                </m:sSubSup>
              </m:oMath>
            </m:oMathPara>
          </w:p>
        </w:tc>
        <w:tc>
          <w:tcPr>
            <w:tcW w:w="833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549DDA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7ACF52A">
            <w:pPr>
              <w:jc w:val="center"/>
              <w:rPr>
                <w:rFonts w:hint="default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0.218</w:t>
            </w: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superscript"/>
                <w:lang w:val="en-US" w:eastAsia="zh-CN"/>
              </w:rPr>
              <w:t>2</w:t>
            </w:r>
          </w:p>
        </w:tc>
        <w:tc>
          <w:tcPr>
            <w:tcW w:w="833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CDF6AD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A656FE4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CA4D82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 w14:paraId="3A10E256">
      <w:pP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注：</w:t>
      </w:r>
      <w:r>
        <w:rPr>
          <w:rFonts w:hint="eastAsia" w:asciiTheme="minorEastAsia" w:hAnsiTheme="minorEastAsia" w:eastAsiaTheme="minorEastAsia" w:cstheme="minorEastAsia"/>
          <w:b w:val="0"/>
          <w:color w:val="000000"/>
          <w:sz w:val="21"/>
          <w:szCs w:val="21"/>
          <w:vertAlign w:val="superscript"/>
          <w:lang w:val="en-US" w:eastAsia="zh-CN"/>
        </w:rPr>
        <w:t>*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:p&lt;0.05;</w:t>
      </w:r>
      <w:r>
        <w:rPr>
          <w:rFonts w:hint="eastAsia" w:asciiTheme="minorEastAsia" w:hAnsiTheme="minorEastAsia" w:eastAsiaTheme="minorEastAsia" w:cstheme="minorEastAsia"/>
          <w:b w:val="0"/>
          <w:color w:val="000000"/>
          <w:sz w:val="21"/>
          <w:szCs w:val="21"/>
          <w:vertAlign w:val="superscript"/>
          <w:lang w:val="en-US" w:eastAsia="zh-CN"/>
        </w:rPr>
        <w:t>**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:p&lt;0.01;</w:t>
      </w:r>
      <w:r>
        <w:rPr>
          <w:rFonts w:hint="eastAsia" w:asciiTheme="minorEastAsia" w:hAnsiTheme="minorEastAsia" w:eastAsiaTheme="minorEastAsia" w:cstheme="minorEastAsia"/>
          <w:b w:val="0"/>
          <w:color w:val="000000"/>
          <w:sz w:val="21"/>
          <w:szCs w:val="21"/>
          <w:vertAlign w:val="superscript"/>
          <w:lang w:val="en-US" w:eastAsia="zh-CN"/>
        </w:rPr>
        <w:t>***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:p&lt;0.001</w:t>
      </w:r>
    </w:p>
    <w:p w14:paraId="6F8E8EB9">
      <w:pPr>
        <w:ind w:firstLine="420" w:firstLineChars="0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  <w:vertAlign w:val="superscript"/>
          <w:lang w:val="en-US" w:eastAsia="zh-CN"/>
        </w:rPr>
        <w:t>1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:Cohen’s d:Small Effect-Size:0.2;Medium Effect-Size:0.5;Large Effect-Size:0.8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.</w:t>
      </w:r>
    </w:p>
    <w:p w14:paraId="37CF423C">
      <w:pPr>
        <w:ind w:firstLine="420" w:firstLineChars="0"/>
        <w:rPr>
          <w:rFonts w:hint="default" w:asciiTheme="minorEastAsia" w:hAnsiTheme="minorEastAsia" w:cstheme="minorEastAsia"/>
          <w:sz w:val="21"/>
          <w:szCs w:val="21"/>
          <w:lang w:val="en-US" w:eastAsia="zh-CN"/>
        </w:rPr>
      </w:pPr>
      <w:r>
        <w:rPr>
          <w:rFonts w:hint="default" w:asciiTheme="minorEastAsia" w:hAnsiTheme="minorEastAsia" w:cstheme="minorEastAsia"/>
          <w:sz w:val="21"/>
          <w:szCs w:val="21"/>
          <w:vertAlign w:val="superscript"/>
          <w:lang w:val="en-US" w:eastAsia="zh-CN"/>
        </w:rPr>
        <w:t>2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: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Cohen’s </w:t>
      </w:r>
      <m:oMath>
        <m:sSubSup>
          <m:sSubSupPr>
            <m:ctrlPr>
              <w:rPr>
                <w:rFonts w:ascii="DejaVu Math TeX Gyre" w:hAnsi="DejaVu Math TeX Gyre" w:cstheme="minorEastAsia"/>
                <w:i/>
                <w:iCs w:val="0"/>
                <w:color w:val="000000"/>
                <w:sz w:val="21"/>
                <w:szCs w:val="21"/>
                <w:vertAlign w:val="baseline"/>
                <w:lang w:val="en-US"/>
              </w:rPr>
            </m:ctrlPr>
          </m:sSubSupPr>
          <m:e>
            <m:r>
              <m:rPr/>
              <w:rPr>
                <w:rFonts w:ascii="DejaVu Math TeX Gyre" w:hAnsi="DejaVu Math TeX Gyre" w:cstheme="minorEastAsia"/>
                <w:color w:val="000000"/>
                <w:sz w:val="21"/>
                <w:szCs w:val="21"/>
                <w:vertAlign w:val="baseline"/>
                <w:lang w:val="en-US"/>
              </w:rPr>
              <m:t>η</m:t>
            </m:r>
            <m:ctrlPr>
              <w:rPr>
                <w:rFonts w:ascii="DejaVu Math TeX Gyre" w:hAnsi="DejaVu Math TeX Gyre" w:cstheme="minorEastAsia"/>
                <w:i/>
                <w:iCs w:val="0"/>
                <w:color w:val="000000"/>
                <w:sz w:val="21"/>
                <w:szCs w:val="21"/>
                <w:vertAlign w:val="baseline"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theme="minorEastAsia"/>
                <w:color w:val="000000"/>
                <w:sz w:val="21"/>
                <w:szCs w:val="21"/>
                <w:vertAlign w:val="baseline"/>
                <w:lang w:val="en-US"/>
              </w:rPr>
              <m:t>p</m:t>
            </m:r>
            <m:ctrlPr>
              <w:rPr>
                <w:rFonts w:ascii="DejaVu Math TeX Gyre" w:hAnsi="DejaVu Math TeX Gyre" w:cstheme="minorEastAsia"/>
                <w:i/>
                <w:iCs w:val="0"/>
                <w:color w:val="000000"/>
                <w:sz w:val="21"/>
                <w:szCs w:val="21"/>
                <w:vertAlign w:val="baseline"/>
                <w:lang w:val="en-US"/>
              </w:rPr>
            </m:ctrlPr>
          </m:sub>
          <m:sup>
            <m:r>
              <m:rPr/>
              <w:rPr>
                <w:rFonts w:hint="default" w:ascii="DejaVu Math TeX Gyre" w:hAnsi="DejaVu Math TeX Gyre" w:cstheme="minorEastAsia"/>
                <w:color w:val="000000"/>
                <w:sz w:val="21"/>
                <w:szCs w:val="21"/>
                <w:vertAlign w:val="baseline"/>
                <w:lang w:val="en-US"/>
              </w:rPr>
              <m:t>2</m:t>
            </m:r>
            <m:ctrlPr>
              <w:rPr>
                <w:rFonts w:ascii="DejaVu Math TeX Gyre" w:hAnsi="DejaVu Math TeX Gyre" w:cstheme="minorEastAsia"/>
                <w:i/>
                <w:iCs w:val="0"/>
                <w:color w:val="000000"/>
                <w:sz w:val="21"/>
                <w:szCs w:val="21"/>
                <w:vertAlign w:val="baseline"/>
                <w:lang w:val="en-US"/>
              </w:rPr>
            </m:ctrlPr>
          </m:sup>
        </m:sSubSup>
      </m:oMath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:Small Effect-Size:0.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01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;Medium Effect-Size:0.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06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;Large Effect-Size:0.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14.</w:t>
      </w:r>
    </w:p>
    <w:p w14:paraId="30E68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jc w:val="both"/>
        <w:textAlignment w:val="auto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A2E8C6"/>
    <w:rsid w:val="37EE0270"/>
    <w:rsid w:val="3D9EBC7B"/>
    <w:rsid w:val="4FA2E8C6"/>
    <w:rsid w:val="52DF87BC"/>
    <w:rsid w:val="5BFCAED5"/>
    <w:rsid w:val="5CEF9715"/>
    <w:rsid w:val="5F396FF1"/>
    <w:rsid w:val="5F648629"/>
    <w:rsid w:val="5F7F6607"/>
    <w:rsid w:val="5F7FEA16"/>
    <w:rsid w:val="6217FDB0"/>
    <w:rsid w:val="66190CD0"/>
    <w:rsid w:val="677B7C73"/>
    <w:rsid w:val="6DFC1ED8"/>
    <w:rsid w:val="6DFF232D"/>
    <w:rsid w:val="6F7B66CA"/>
    <w:rsid w:val="6FEB76E6"/>
    <w:rsid w:val="6FFFB5BB"/>
    <w:rsid w:val="757FC564"/>
    <w:rsid w:val="7DF1FB44"/>
    <w:rsid w:val="7EED4C06"/>
    <w:rsid w:val="7F749098"/>
    <w:rsid w:val="7F7FB51C"/>
    <w:rsid w:val="7FCF3C8D"/>
    <w:rsid w:val="7FDE1B4C"/>
    <w:rsid w:val="7FEA9B65"/>
    <w:rsid w:val="7FFBD60E"/>
    <w:rsid w:val="8DF70A6D"/>
    <w:rsid w:val="8EDEF78E"/>
    <w:rsid w:val="9DF7773E"/>
    <w:rsid w:val="AF4F58C7"/>
    <w:rsid w:val="B6DBFDE0"/>
    <w:rsid w:val="BF9FDEAB"/>
    <w:rsid w:val="BFCE6637"/>
    <w:rsid w:val="D6A6A421"/>
    <w:rsid w:val="DB6528E7"/>
    <w:rsid w:val="DBFAED10"/>
    <w:rsid w:val="E6EFD3B6"/>
    <w:rsid w:val="E7EFCB5A"/>
    <w:rsid w:val="EF69792E"/>
    <w:rsid w:val="EFBF8DB7"/>
    <w:rsid w:val="F347459F"/>
    <w:rsid w:val="F3BF69FD"/>
    <w:rsid w:val="F5BD3B69"/>
    <w:rsid w:val="F7FF004C"/>
    <w:rsid w:val="F7FF5B1D"/>
    <w:rsid w:val="FD163820"/>
    <w:rsid w:val="FF701545"/>
    <w:rsid w:val="FFF5ABA1"/>
    <w:rsid w:val="FFF6900F"/>
    <w:rsid w:val="FFFD1109"/>
    <w:rsid w:val="FFFF9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1005</Words>
  <Characters>1802</Characters>
  <Lines>0</Lines>
  <Paragraphs>0</Paragraphs>
  <TotalTime>7</TotalTime>
  <ScaleCrop>false</ScaleCrop>
  <LinksUpToDate>false</LinksUpToDate>
  <CharactersWithSpaces>1895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2025-01-03T04:59:00Z</dcterms:created>
  <dc:creator>王宁</dc:creator>
  <cp:lastModifiedBy>王宁</cp:lastModifiedBy>
  <dcterms:modified xsi:type="dcterms:W3CDTF">2026-06-18T10:41:49Z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40DF22C3864B3F5A23F66F678F0B0550_41</vt:lpwstr>
  </property>
</Properties>
</file>