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FBEC1B2">
      <w:pPr>
        <w:jc w:val="center"/>
        <w:rPr>
          <w:rFonts w:hint="eastAsia" w:ascii="方正小标宋简体" w:hAnsi="方正小标宋简体" w:eastAsia="方正小标宋简体" w:cs="方正小标宋简体"/>
          <w:sz w:val="30"/>
          <w:szCs w:val="30"/>
          <w:lang w:val="en-US" w:eastAsia="zh-CN"/>
        </w:rPr>
      </w:pPr>
      <w:r>
        <w:rPr>
          <w:rFonts w:hint="eastAsia" w:ascii="方正小标宋简体" w:hAnsi="方正小标宋简体" w:eastAsia="方正小标宋简体" w:cs="方正小标宋简体"/>
          <w:sz w:val="30"/>
          <w:szCs w:val="30"/>
          <w:lang w:val="en-US" w:eastAsia="zh-CN"/>
        </w:rPr>
        <w:t>协方差案例分析（斜率不齐）</w:t>
      </w:r>
    </w:p>
    <w:p w14:paraId="6FF4A567">
      <w:pPr>
        <w:rPr>
          <w:rFonts w:hint="eastAsia" w:ascii="方正仿宋_GB2312" w:hAnsi="方正仿宋_GB2312" w:eastAsia="方正仿宋_GB2312" w:cs="方正仿宋_GB2312"/>
          <w:sz w:val="21"/>
          <w:szCs w:val="21"/>
          <w:lang w:val="en-US" w:eastAsia="zh-CN"/>
        </w:rPr>
      </w:pPr>
    </w:p>
    <w:p w14:paraId="42538552">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方正仿宋_GB2312" w:hAnsi="方正仿宋_GB2312" w:eastAsia="方正仿宋_GB2312" w:cs="方正仿宋_GB2312"/>
          <w:sz w:val="21"/>
          <w:szCs w:val="21"/>
          <w:lang w:val="en-US" w:eastAsia="zh-CN"/>
        </w:rPr>
      </w:pPr>
      <w:r>
        <w:rPr>
          <w:rFonts w:hint="eastAsia" w:ascii="方正仿宋_GB2312" w:hAnsi="方正仿宋_GB2312" w:eastAsia="方正仿宋_GB2312" w:cs="方正仿宋_GB2312"/>
          <w:sz w:val="21"/>
          <w:szCs w:val="21"/>
          <w:lang w:val="en-US" w:eastAsia="zh-CN"/>
        </w:rPr>
        <w:t>1. 回归斜率齐性检验</w:t>
      </w:r>
    </w:p>
    <w:p w14:paraId="45B5403C">
      <w:pPr>
        <w:keepNext w:val="0"/>
        <w:keepLines w:val="0"/>
        <w:pageBreakBefore w:val="0"/>
        <w:widowControl w:val="0"/>
        <w:kinsoku/>
        <w:wordWrap/>
        <w:overflowPunct/>
        <w:topLinePunct w:val="0"/>
        <w:autoSpaceDE/>
        <w:autoSpaceDN/>
        <w:bidi w:val="0"/>
        <w:adjustRightInd/>
        <w:snapToGrid/>
        <w:spacing w:line="360" w:lineRule="auto"/>
        <w:ind w:firstLine="0" w:firstLineChars="0"/>
        <w:jc w:val="both"/>
        <w:textAlignment w:val="auto"/>
        <w:rPr>
          <w:rFonts w:hint="eastAsia" w:ascii="宋体" w:hAnsi="宋体" w:eastAsia="宋体" w:cs="宋体"/>
          <w:b/>
          <w:bCs/>
          <w:i w:val="0"/>
          <w:iCs w:val="0"/>
          <w:sz w:val="18"/>
          <w:szCs w:val="18"/>
          <w:lang w:val="en-US" w:eastAsia="zh-CN"/>
        </w:rPr>
      </w:pPr>
      <w:r>
        <w:rPr>
          <w:rFonts w:hint="eastAsia" w:ascii="宋体" w:hAnsi="宋体" w:eastAsia="宋体" w:cs="宋体"/>
          <w:b/>
          <w:bCs/>
          <w:i w:val="0"/>
          <w:iCs w:val="0"/>
          <w:sz w:val="18"/>
          <w:szCs w:val="18"/>
          <w:lang w:val="en-US" w:eastAsia="zh-CN"/>
        </w:rPr>
        <w:t>Table</w:t>
      </w:r>
      <w:r>
        <w:rPr>
          <w:rFonts w:hint="default" w:ascii="宋体" w:hAnsi="宋体" w:eastAsia="宋体" w:cs="宋体"/>
          <w:b/>
          <w:bCs/>
          <w:i w:val="0"/>
          <w:iCs w:val="0"/>
          <w:sz w:val="18"/>
          <w:szCs w:val="18"/>
          <w:lang w:val="en-US" w:eastAsia="zh-CN"/>
        </w:rPr>
        <w:t xml:space="preserve"> </w:t>
      </w:r>
      <w:r>
        <w:rPr>
          <w:rFonts w:hint="eastAsia" w:ascii="宋体" w:hAnsi="宋体" w:eastAsia="宋体" w:cs="宋体"/>
          <w:b/>
          <w:bCs/>
          <w:i w:val="0"/>
          <w:iCs w:val="0"/>
          <w:sz w:val="18"/>
          <w:szCs w:val="18"/>
          <w:lang w:val="en-US" w:eastAsia="zh-CN"/>
        </w:rPr>
        <w:t xml:space="preserve">1 </w:t>
      </w:r>
    </w:p>
    <w:p w14:paraId="48FF51AD">
      <w:pPr>
        <w:keepNext w:val="0"/>
        <w:keepLines w:val="0"/>
        <w:pageBreakBefore w:val="0"/>
        <w:widowControl w:val="0"/>
        <w:kinsoku/>
        <w:wordWrap/>
        <w:overflowPunct/>
        <w:topLinePunct w:val="0"/>
        <w:autoSpaceDE/>
        <w:autoSpaceDN/>
        <w:bidi w:val="0"/>
        <w:adjustRightInd/>
        <w:snapToGrid/>
        <w:spacing w:line="360" w:lineRule="auto"/>
        <w:ind w:firstLine="0" w:firstLineChars="0"/>
        <w:jc w:val="both"/>
        <w:textAlignment w:val="auto"/>
        <w:rPr>
          <w:rFonts w:hint="eastAsia" w:ascii="宋体" w:hAnsi="宋体" w:eastAsia="宋体" w:cs="宋体"/>
          <w:i/>
          <w:iCs/>
          <w:sz w:val="18"/>
          <w:szCs w:val="18"/>
          <w:lang w:val="en-US" w:eastAsia="zh-CN"/>
        </w:rPr>
      </w:pPr>
      <w:r>
        <w:rPr>
          <w:rFonts w:hint="eastAsia" w:ascii="宋体" w:hAnsi="宋体" w:eastAsia="宋体" w:cs="宋体"/>
          <w:i/>
          <w:iCs/>
          <w:sz w:val="18"/>
          <w:szCs w:val="18"/>
          <w:lang w:val="en-US" w:eastAsia="zh-CN"/>
        </w:rPr>
        <w:t xml:space="preserve">Result of Homogeneity of Regression Slopes for Analysis of Covariance </w:t>
      </w:r>
    </w:p>
    <w:p w14:paraId="6CB021A9">
      <w:pPr>
        <w:keepNext w:val="0"/>
        <w:keepLines w:val="0"/>
        <w:pageBreakBefore w:val="0"/>
        <w:widowControl w:val="0"/>
        <w:kinsoku/>
        <w:wordWrap/>
        <w:overflowPunct/>
        <w:topLinePunct w:val="0"/>
        <w:autoSpaceDE/>
        <w:autoSpaceDN/>
        <w:bidi w:val="0"/>
        <w:adjustRightInd/>
        <w:snapToGrid/>
        <w:spacing w:line="360" w:lineRule="auto"/>
        <w:jc w:val="right"/>
        <w:textAlignment w:val="auto"/>
        <w:rPr>
          <w:rFonts w:hint="eastAsia" w:ascii="宋体" w:hAnsi="宋体" w:eastAsia="宋体" w:cs="宋体"/>
          <w:i/>
          <w:iCs/>
          <w:sz w:val="18"/>
          <w:szCs w:val="18"/>
          <w:lang w:val="en-US" w:eastAsia="zh-CN"/>
        </w:rPr>
      </w:pPr>
      <w:r>
        <w:rPr>
          <w:rFonts w:hint="eastAsia" w:ascii="宋体" w:hAnsi="宋体" w:eastAsia="宋体" w:cs="宋体"/>
          <w:i/>
          <w:iCs/>
          <w:sz w:val="18"/>
          <w:szCs w:val="18"/>
          <w:lang w:val="en-US" w:eastAsia="zh-CN"/>
        </w:rPr>
        <w:t>Dependent Variable: Post, Type III Sum of Squares</w:t>
      </w:r>
    </w:p>
    <w:tbl>
      <w:tblPr>
        <w:tblStyle w:val="2"/>
        <w:tblW w:w="4998"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1640"/>
        <w:gridCol w:w="1137"/>
        <w:gridCol w:w="1137"/>
        <w:gridCol w:w="1137"/>
        <w:gridCol w:w="1193"/>
        <w:gridCol w:w="1137"/>
        <w:gridCol w:w="1138"/>
      </w:tblGrid>
      <w:tr w14:paraId="257640ED">
        <w:trPr>
          <w:trHeight w:val="336" w:hRule="atLeast"/>
        </w:trPr>
        <w:tc>
          <w:tcPr>
            <w:tcW w:w="962" w:type="pct"/>
            <w:tcBorders>
              <w:top w:val="single" w:color="000000" w:sz="12" w:space="0"/>
              <w:left w:val="nil"/>
              <w:bottom w:val="single" w:color="000000" w:sz="4" w:space="0"/>
              <w:right w:val="nil"/>
              <w:tl2br w:val="nil"/>
            </w:tcBorders>
            <w:shd w:val="clear" w:color="auto" w:fill="FFFFFF"/>
            <w:noWrap/>
            <w:vAlign w:val="center"/>
          </w:tcPr>
          <w:p w14:paraId="0704D1D4">
            <w:pPr>
              <w:jc w:val="center"/>
              <w:rPr>
                <w:rFonts w:hint="eastAsia" w:ascii="宋体" w:hAnsi="宋体" w:eastAsia="宋体" w:cs="宋体"/>
                <w:b w:val="0"/>
                <w:i w:val="0"/>
                <w:iCs w:val="0"/>
                <w:color w:val="000000"/>
                <w:sz w:val="18"/>
                <w:szCs w:val="18"/>
                <w:u w:val="none"/>
              </w:rPr>
            </w:pPr>
          </w:p>
        </w:tc>
        <w:tc>
          <w:tcPr>
            <w:tcW w:w="667" w:type="pct"/>
            <w:tcBorders>
              <w:top w:val="single" w:color="000000" w:sz="12" w:space="0"/>
              <w:left w:val="nil"/>
              <w:bottom w:val="single" w:color="000000" w:sz="4" w:space="0"/>
              <w:right w:val="nil"/>
            </w:tcBorders>
            <w:shd w:val="clear" w:color="auto" w:fill="FFFFFF"/>
            <w:noWrap/>
            <w:vAlign w:val="center"/>
          </w:tcPr>
          <w:p w14:paraId="747CF86D">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SS</w:t>
            </w:r>
          </w:p>
        </w:tc>
        <w:tc>
          <w:tcPr>
            <w:tcW w:w="667" w:type="pct"/>
            <w:tcBorders>
              <w:top w:val="single" w:color="000000" w:sz="12" w:space="0"/>
              <w:left w:val="nil"/>
              <w:bottom w:val="single" w:color="000000" w:sz="4" w:space="0"/>
              <w:right w:val="nil"/>
            </w:tcBorders>
            <w:shd w:val="clear" w:color="auto" w:fill="FFFFFF"/>
            <w:noWrap/>
            <w:vAlign w:val="center"/>
          </w:tcPr>
          <w:p w14:paraId="6178809C">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df</w:t>
            </w:r>
          </w:p>
        </w:tc>
        <w:tc>
          <w:tcPr>
            <w:tcW w:w="667" w:type="pct"/>
            <w:tcBorders>
              <w:top w:val="single" w:color="000000" w:sz="12" w:space="0"/>
              <w:left w:val="nil"/>
              <w:bottom w:val="single" w:color="000000" w:sz="4" w:space="0"/>
              <w:right w:val="nil"/>
            </w:tcBorders>
            <w:shd w:val="clear" w:color="auto" w:fill="FFFFFF"/>
            <w:noWrap/>
            <w:vAlign w:val="center"/>
          </w:tcPr>
          <w:p w14:paraId="4F554763">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MS</w:t>
            </w:r>
          </w:p>
        </w:tc>
        <w:tc>
          <w:tcPr>
            <w:tcW w:w="700" w:type="pct"/>
            <w:tcBorders>
              <w:top w:val="single" w:color="000000" w:sz="12" w:space="0"/>
              <w:left w:val="nil"/>
              <w:bottom w:val="single" w:color="000000" w:sz="4" w:space="0"/>
              <w:right w:val="nil"/>
            </w:tcBorders>
            <w:shd w:val="clear" w:color="auto" w:fill="FFFFFF"/>
            <w:noWrap/>
            <w:vAlign w:val="center"/>
          </w:tcPr>
          <w:p w14:paraId="0D0C029F">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F</w:t>
            </w:r>
          </w:p>
        </w:tc>
        <w:tc>
          <w:tcPr>
            <w:tcW w:w="667" w:type="pct"/>
            <w:tcBorders>
              <w:top w:val="single" w:color="000000" w:sz="12" w:space="0"/>
              <w:left w:val="nil"/>
              <w:bottom w:val="single" w:color="000000" w:sz="4" w:space="0"/>
              <w:right w:val="nil"/>
            </w:tcBorders>
            <w:shd w:val="clear" w:color="auto" w:fill="FFFFFF"/>
            <w:noWrap/>
            <w:vAlign w:val="center"/>
          </w:tcPr>
          <w:p w14:paraId="7575002C">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lang w:val="en-US"/>
              </w:rPr>
            </w:pPr>
            <w:r>
              <w:rPr>
                <w:rFonts w:hint="eastAsia" w:ascii="宋体" w:hAnsi="宋体" w:eastAsia="宋体" w:cs="宋体"/>
                <w:b w:val="0"/>
                <w:i w:val="0"/>
                <w:iCs w:val="0"/>
                <w:color w:val="000000"/>
                <w:sz w:val="18"/>
                <w:szCs w:val="18"/>
                <w:u w:val="none"/>
                <w:lang w:val="en-US"/>
              </w:rPr>
              <w:t>p</w:t>
            </w:r>
          </w:p>
        </w:tc>
        <w:tc>
          <w:tcPr>
            <w:tcW w:w="667" w:type="pct"/>
            <w:tcBorders>
              <w:top w:val="single" w:color="000000" w:sz="12" w:space="0"/>
              <w:left w:val="nil"/>
              <w:bottom w:val="single" w:color="000000" w:sz="4" w:space="0"/>
              <w:right w:val="nil"/>
            </w:tcBorders>
            <w:shd w:val="clear" w:color="auto" w:fill="FFFFFF"/>
            <w:noWrap/>
            <w:vAlign w:val="center"/>
          </w:tcPr>
          <w:p w14:paraId="7AB00A57">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lang w:val="en-US"/>
              </w:rPr>
            </w:pPr>
            <w:r>
              <w:rPr>
                <w:rFonts w:hint="eastAsia" w:ascii="宋体" w:hAnsi="宋体" w:eastAsia="宋体" w:cs="宋体"/>
                <w:b w:val="0"/>
                <w:i w:val="0"/>
                <w:iCs w:val="0"/>
                <w:color w:val="000000"/>
                <w:sz w:val="18"/>
                <w:szCs w:val="18"/>
                <w:u w:val="none"/>
                <w:lang w:val="en-US"/>
              </w:rPr>
              <w:t>P-Eta-S</w:t>
            </w:r>
          </w:p>
        </w:tc>
      </w:tr>
      <w:tr w14:paraId="3FCC0AE5">
        <w:trPr>
          <w:trHeight w:val="336" w:hRule="atLeast"/>
        </w:trPr>
        <w:tc>
          <w:tcPr>
            <w:tcW w:w="962" w:type="pct"/>
            <w:tcBorders>
              <w:top w:val="single" w:color="000000" w:sz="4" w:space="0"/>
              <w:left w:val="nil"/>
              <w:bottom w:val="nil"/>
              <w:right w:val="nil"/>
            </w:tcBorders>
            <w:shd w:val="clear" w:color="auto" w:fill="FFFFFF"/>
            <w:noWrap/>
            <w:vAlign w:val="center"/>
          </w:tcPr>
          <w:p w14:paraId="69C58CAE">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Corrected Model</w:t>
            </w:r>
          </w:p>
        </w:tc>
        <w:tc>
          <w:tcPr>
            <w:tcW w:w="667" w:type="pct"/>
            <w:tcBorders>
              <w:top w:val="single" w:color="000000" w:sz="4" w:space="0"/>
              <w:left w:val="nil"/>
              <w:bottom w:val="nil"/>
              <w:right w:val="nil"/>
            </w:tcBorders>
            <w:shd w:val="clear" w:color="auto" w:fill="FFFFFF"/>
            <w:noWrap/>
            <w:vAlign w:val="center"/>
          </w:tcPr>
          <w:p w14:paraId="7DDB7AB3">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96.823</w:t>
            </w:r>
          </w:p>
        </w:tc>
        <w:tc>
          <w:tcPr>
            <w:tcW w:w="667" w:type="pct"/>
            <w:tcBorders>
              <w:top w:val="single" w:color="000000" w:sz="4" w:space="0"/>
              <w:left w:val="nil"/>
              <w:bottom w:val="nil"/>
              <w:right w:val="nil"/>
            </w:tcBorders>
            <w:shd w:val="clear" w:color="auto" w:fill="FFFFFF"/>
            <w:noWrap/>
            <w:vAlign w:val="center"/>
          </w:tcPr>
          <w:p w14:paraId="21F205D3">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3</w:t>
            </w:r>
          </w:p>
        </w:tc>
        <w:tc>
          <w:tcPr>
            <w:tcW w:w="667" w:type="pct"/>
            <w:tcBorders>
              <w:top w:val="single" w:color="000000" w:sz="4" w:space="0"/>
              <w:left w:val="nil"/>
              <w:bottom w:val="nil"/>
              <w:right w:val="nil"/>
            </w:tcBorders>
            <w:shd w:val="clear" w:color="auto" w:fill="FFFFFF"/>
            <w:noWrap/>
            <w:vAlign w:val="center"/>
          </w:tcPr>
          <w:p w14:paraId="5AB6A7E9">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32.274</w:t>
            </w:r>
          </w:p>
        </w:tc>
        <w:tc>
          <w:tcPr>
            <w:tcW w:w="700" w:type="pct"/>
            <w:tcBorders>
              <w:top w:val="single" w:color="000000" w:sz="4" w:space="0"/>
              <w:left w:val="nil"/>
              <w:bottom w:val="nil"/>
              <w:right w:val="nil"/>
            </w:tcBorders>
            <w:shd w:val="clear" w:color="auto" w:fill="FFFFFF"/>
            <w:noWrap/>
            <w:vAlign w:val="center"/>
          </w:tcPr>
          <w:p w14:paraId="5780A566">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6627.059</w:t>
            </w:r>
          </w:p>
        </w:tc>
        <w:tc>
          <w:tcPr>
            <w:tcW w:w="667" w:type="pct"/>
            <w:tcBorders>
              <w:top w:val="single" w:color="000000" w:sz="4" w:space="0"/>
              <w:left w:val="nil"/>
              <w:bottom w:val="nil"/>
              <w:right w:val="nil"/>
            </w:tcBorders>
            <w:shd w:val="clear" w:color="auto" w:fill="FFFFFF"/>
            <w:noWrap/>
            <w:vAlign w:val="center"/>
          </w:tcPr>
          <w:p w14:paraId="54981D08">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&lt;.001</w:t>
            </w:r>
          </w:p>
        </w:tc>
        <w:tc>
          <w:tcPr>
            <w:tcW w:w="667" w:type="pct"/>
            <w:tcBorders>
              <w:top w:val="single" w:color="000000" w:sz="4" w:space="0"/>
              <w:left w:val="nil"/>
              <w:bottom w:val="nil"/>
              <w:right w:val="nil"/>
            </w:tcBorders>
            <w:shd w:val="clear" w:color="auto" w:fill="FFFFFF"/>
            <w:noWrap/>
            <w:vAlign w:val="center"/>
          </w:tcPr>
          <w:p w14:paraId="5EFF331D">
            <w:pPr>
              <w:keepNext w:val="0"/>
              <w:keepLines w:val="0"/>
              <w:widowControl/>
              <w:suppressLineNumbers w:val="0"/>
              <w:jc w:val="center"/>
              <w:textAlignment w:val="center"/>
              <w:rPr>
                <w:rFonts w:hint="eastAsia" w:ascii="宋体" w:hAnsi="宋体" w:eastAsia="宋体" w:cs="宋体"/>
                <w:b w:val="0"/>
                <w:i w:val="0"/>
                <w:iCs w:val="0"/>
                <w:color w:val="000000"/>
                <w:kern w:val="0"/>
                <w:sz w:val="18"/>
                <w:szCs w:val="18"/>
                <w:u w:val="none"/>
                <w:lang w:val="en-US" w:eastAsia="zh-CN" w:bidi="ar"/>
              </w:rPr>
            </w:pPr>
            <w:r>
              <w:rPr>
                <w:rFonts w:hint="eastAsia" w:ascii="宋体" w:hAnsi="宋体" w:eastAsia="宋体" w:cs="宋体"/>
                <w:b w:val="0"/>
                <w:i w:val="0"/>
                <w:iCs w:val="0"/>
                <w:color w:val="000000"/>
                <w:kern w:val="0"/>
                <w:sz w:val="18"/>
                <w:szCs w:val="18"/>
                <w:u w:val="none"/>
                <w:lang w:val="en-US" w:eastAsia="zh-CN" w:bidi="ar"/>
              </w:rPr>
              <w:t>0.997</w:t>
            </w:r>
          </w:p>
        </w:tc>
      </w:tr>
      <w:tr w14:paraId="0A2406C1">
        <w:trPr>
          <w:trHeight w:val="336" w:hRule="atLeast"/>
        </w:trPr>
        <w:tc>
          <w:tcPr>
            <w:tcW w:w="962" w:type="pct"/>
            <w:tcBorders>
              <w:top w:val="nil"/>
              <w:left w:val="nil"/>
              <w:bottom w:val="nil"/>
              <w:right w:val="nil"/>
            </w:tcBorders>
            <w:shd w:val="clear" w:color="auto" w:fill="FFFFFF"/>
            <w:noWrap/>
            <w:vAlign w:val="center"/>
          </w:tcPr>
          <w:p w14:paraId="1F92FB35">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Group * Pre</w:t>
            </w:r>
          </w:p>
        </w:tc>
        <w:tc>
          <w:tcPr>
            <w:tcW w:w="667" w:type="pct"/>
            <w:tcBorders>
              <w:top w:val="nil"/>
              <w:left w:val="nil"/>
              <w:bottom w:val="nil"/>
              <w:right w:val="nil"/>
            </w:tcBorders>
            <w:shd w:val="clear" w:color="auto" w:fill="FFFFFF"/>
            <w:noWrap/>
            <w:vAlign w:val="center"/>
          </w:tcPr>
          <w:p w14:paraId="7B27097F">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16.897</w:t>
            </w:r>
          </w:p>
        </w:tc>
        <w:tc>
          <w:tcPr>
            <w:tcW w:w="667" w:type="pct"/>
            <w:tcBorders>
              <w:top w:val="nil"/>
              <w:left w:val="nil"/>
              <w:bottom w:val="nil"/>
              <w:right w:val="nil"/>
            </w:tcBorders>
            <w:shd w:val="clear" w:color="auto" w:fill="FFFFFF"/>
            <w:noWrap/>
            <w:vAlign w:val="center"/>
          </w:tcPr>
          <w:p w14:paraId="1DEFD6D8">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1</w:t>
            </w:r>
          </w:p>
        </w:tc>
        <w:tc>
          <w:tcPr>
            <w:tcW w:w="667" w:type="pct"/>
            <w:tcBorders>
              <w:top w:val="nil"/>
              <w:left w:val="nil"/>
              <w:bottom w:val="nil"/>
              <w:right w:val="nil"/>
            </w:tcBorders>
            <w:shd w:val="clear" w:color="auto" w:fill="FFFFFF"/>
            <w:noWrap/>
            <w:vAlign w:val="center"/>
          </w:tcPr>
          <w:p w14:paraId="5166DCE9">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16.897</w:t>
            </w:r>
          </w:p>
        </w:tc>
        <w:tc>
          <w:tcPr>
            <w:tcW w:w="700" w:type="pct"/>
            <w:tcBorders>
              <w:top w:val="nil"/>
              <w:left w:val="nil"/>
              <w:bottom w:val="nil"/>
              <w:right w:val="nil"/>
            </w:tcBorders>
            <w:shd w:val="clear" w:color="auto" w:fill="FFFFFF"/>
            <w:noWrap/>
            <w:vAlign w:val="center"/>
          </w:tcPr>
          <w:p w14:paraId="31C88DFA">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3469.539</w:t>
            </w:r>
          </w:p>
        </w:tc>
        <w:tc>
          <w:tcPr>
            <w:tcW w:w="667" w:type="pct"/>
            <w:tcBorders>
              <w:top w:val="nil"/>
              <w:left w:val="nil"/>
              <w:bottom w:val="nil"/>
              <w:right w:val="nil"/>
            </w:tcBorders>
            <w:shd w:val="clear" w:color="auto" w:fill="FFFFFF"/>
            <w:noWrap/>
            <w:vAlign w:val="center"/>
          </w:tcPr>
          <w:p w14:paraId="059039E3">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&lt;.001</w:t>
            </w:r>
          </w:p>
        </w:tc>
        <w:tc>
          <w:tcPr>
            <w:tcW w:w="667" w:type="pct"/>
            <w:tcBorders>
              <w:top w:val="nil"/>
              <w:left w:val="nil"/>
              <w:bottom w:val="nil"/>
              <w:right w:val="nil"/>
            </w:tcBorders>
            <w:shd w:val="clear" w:color="auto" w:fill="FFFFFF"/>
            <w:noWrap/>
            <w:vAlign w:val="center"/>
          </w:tcPr>
          <w:p w14:paraId="1199F7F5">
            <w:pPr>
              <w:keepNext w:val="0"/>
              <w:keepLines w:val="0"/>
              <w:widowControl/>
              <w:suppressLineNumbers w:val="0"/>
              <w:jc w:val="center"/>
              <w:textAlignment w:val="center"/>
              <w:rPr>
                <w:rFonts w:hint="eastAsia" w:ascii="宋体" w:hAnsi="宋体" w:eastAsia="宋体" w:cs="宋体"/>
                <w:b w:val="0"/>
                <w:i w:val="0"/>
                <w:iCs w:val="0"/>
                <w:color w:val="000000"/>
                <w:kern w:val="0"/>
                <w:sz w:val="18"/>
                <w:szCs w:val="18"/>
                <w:u w:val="none"/>
                <w:lang w:val="en-US" w:eastAsia="zh-CN" w:bidi="ar"/>
              </w:rPr>
            </w:pPr>
            <w:r>
              <w:rPr>
                <w:rFonts w:hint="eastAsia" w:ascii="宋体" w:hAnsi="宋体" w:eastAsia="宋体" w:cs="宋体"/>
                <w:b w:val="0"/>
                <w:i w:val="0"/>
                <w:iCs w:val="0"/>
                <w:color w:val="000000"/>
                <w:kern w:val="0"/>
                <w:sz w:val="18"/>
                <w:szCs w:val="18"/>
                <w:u w:val="none"/>
                <w:lang w:val="en-US" w:eastAsia="zh-CN" w:bidi="ar"/>
              </w:rPr>
              <w:t>0.984</w:t>
            </w:r>
          </w:p>
        </w:tc>
      </w:tr>
      <w:tr w14:paraId="7255DC56">
        <w:trPr>
          <w:trHeight w:val="336" w:hRule="atLeast"/>
        </w:trPr>
        <w:tc>
          <w:tcPr>
            <w:tcW w:w="962" w:type="pct"/>
            <w:tcBorders>
              <w:top w:val="nil"/>
              <w:left w:val="nil"/>
              <w:bottom w:val="nil"/>
              <w:right w:val="nil"/>
            </w:tcBorders>
            <w:shd w:val="clear" w:color="auto" w:fill="FFFFFF"/>
            <w:noWrap/>
            <w:vAlign w:val="center"/>
          </w:tcPr>
          <w:p w14:paraId="353A321D">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Error</w:t>
            </w:r>
          </w:p>
        </w:tc>
        <w:tc>
          <w:tcPr>
            <w:tcW w:w="667" w:type="pct"/>
            <w:tcBorders>
              <w:top w:val="nil"/>
              <w:left w:val="nil"/>
              <w:bottom w:val="nil"/>
              <w:right w:val="nil"/>
            </w:tcBorders>
            <w:shd w:val="clear" w:color="auto" w:fill="FFFFFF"/>
            <w:noWrap/>
            <w:vAlign w:val="center"/>
          </w:tcPr>
          <w:p w14:paraId="5047742F">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0.273</w:t>
            </w:r>
          </w:p>
        </w:tc>
        <w:tc>
          <w:tcPr>
            <w:tcW w:w="667" w:type="pct"/>
            <w:tcBorders>
              <w:top w:val="nil"/>
              <w:left w:val="nil"/>
              <w:bottom w:val="nil"/>
              <w:right w:val="nil"/>
            </w:tcBorders>
            <w:shd w:val="clear" w:color="auto" w:fill="FFFFFF"/>
            <w:noWrap/>
            <w:vAlign w:val="center"/>
          </w:tcPr>
          <w:p w14:paraId="7307410A">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56</w:t>
            </w:r>
          </w:p>
        </w:tc>
        <w:tc>
          <w:tcPr>
            <w:tcW w:w="667" w:type="pct"/>
            <w:tcBorders>
              <w:top w:val="nil"/>
              <w:left w:val="nil"/>
              <w:bottom w:val="nil"/>
              <w:right w:val="nil"/>
            </w:tcBorders>
            <w:shd w:val="clear" w:color="auto" w:fill="FFFFFF"/>
            <w:noWrap/>
            <w:vAlign w:val="center"/>
          </w:tcPr>
          <w:p w14:paraId="4BC5B695">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0.005</w:t>
            </w:r>
          </w:p>
        </w:tc>
        <w:tc>
          <w:tcPr>
            <w:tcW w:w="700" w:type="pct"/>
            <w:tcBorders>
              <w:top w:val="nil"/>
              <w:left w:val="nil"/>
              <w:bottom w:val="nil"/>
              <w:right w:val="nil"/>
            </w:tcBorders>
            <w:shd w:val="clear" w:color="auto" w:fill="FFFFFF"/>
            <w:noWrap/>
            <w:vAlign w:val="center"/>
          </w:tcPr>
          <w:p w14:paraId="7A9BAE59">
            <w:pPr>
              <w:jc w:val="center"/>
              <w:rPr>
                <w:rFonts w:hint="eastAsia" w:ascii="宋体" w:hAnsi="宋体" w:eastAsia="宋体" w:cs="宋体"/>
                <w:b w:val="0"/>
                <w:i w:val="0"/>
                <w:iCs w:val="0"/>
                <w:color w:val="000000"/>
                <w:sz w:val="18"/>
                <w:szCs w:val="18"/>
                <w:u w:val="none"/>
              </w:rPr>
            </w:pPr>
          </w:p>
        </w:tc>
        <w:tc>
          <w:tcPr>
            <w:tcW w:w="667" w:type="pct"/>
            <w:tcBorders>
              <w:top w:val="nil"/>
              <w:left w:val="nil"/>
              <w:bottom w:val="nil"/>
              <w:right w:val="nil"/>
            </w:tcBorders>
            <w:shd w:val="clear" w:color="auto" w:fill="FFFFFF"/>
            <w:noWrap/>
            <w:vAlign w:val="center"/>
          </w:tcPr>
          <w:p w14:paraId="7B42990E">
            <w:pPr>
              <w:jc w:val="center"/>
              <w:rPr>
                <w:rFonts w:hint="eastAsia" w:ascii="宋体" w:hAnsi="宋体" w:eastAsia="宋体" w:cs="宋体"/>
                <w:b w:val="0"/>
                <w:i w:val="0"/>
                <w:iCs w:val="0"/>
                <w:color w:val="000000"/>
                <w:sz w:val="18"/>
                <w:szCs w:val="18"/>
                <w:u w:val="none"/>
              </w:rPr>
            </w:pPr>
          </w:p>
        </w:tc>
        <w:tc>
          <w:tcPr>
            <w:tcW w:w="667" w:type="pct"/>
            <w:tcBorders>
              <w:top w:val="nil"/>
              <w:left w:val="nil"/>
              <w:bottom w:val="nil"/>
              <w:right w:val="nil"/>
            </w:tcBorders>
            <w:shd w:val="clear" w:color="auto" w:fill="FFFFFF"/>
            <w:noWrap/>
            <w:vAlign w:val="center"/>
          </w:tcPr>
          <w:p w14:paraId="640E2176">
            <w:pPr>
              <w:jc w:val="center"/>
              <w:rPr>
                <w:rFonts w:hint="eastAsia" w:ascii="宋体" w:hAnsi="宋体" w:eastAsia="宋体" w:cs="宋体"/>
                <w:b w:val="0"/>
                <w:i w:val="0"/>
                <w:iCs w:val="0"/>
                <w:color w:val="000000"/>
                <w:sz w:val="18"/>
                <w:szCs w:val="18"/>
                <w:u w:val="none"/>
              </w:rPr>
            </w:pPr>
          </w:p>
        </w:tc>
      </w:tr>
      <w:tr w14:paraId="7C5AD43D">
        <w:trPr>
          <w:trHeight w:val="336" w:hRule="atLeast"/>
        </w:trPr>
        <w:tc>
          <w:tcPr>
            <w:tcW w:w="962" w:type="pct"/>
            <w:tcBorders>
              <w:top w:val="nil"/>
              <w:left w:val="nil"/>
              <w:bottom w:val="single" w:color="000000" w:sz="12" w:space="0"/>
              <w:right w:val="nil"/>
            </w:tcBorders>
            <w:shd w:val="clear" w:color="auto" w:fill="FFFFFF"/>
            <w:noWrap/>
            <w:vAlign w:val="center"/>
          </w:tcPr>
          <w:p w14:paraId="1F466EB7">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Total</w:t>
            </w:r>
          </w:p>
        </w:tc>
        <w:tc>
          <w:tcPr>
            <w:tcW w:w="667" w:type="pct"/>
            <w:tcBorders>
              <w:top w:val="nil"/>
              <w:left w:val="nil"/>
              <w:bottom w:val="single" w:color="000000" w:sz="12" w:space="0"/>
              <w:right w:val="nil"/>
            </w:tcBorders>
            <w:shd w:val="clear" w:color="auto" w:fill="FFFFFF"/>
            <w:noWrap/>
            <w:vAlign w:val="center"/>
          </w:tcPr>
          <w:p w14:paraId="45823604">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3364.96</w:t>
            </w:r>
          </w:p>
        </w:tc>
        <w:tc>
          <w:tcPr>
            <w:tcW w:w="667" w:type="pct"/>
            <w:tcBorders>
              <w:top w:val="nil"/>
              <w:left w:val="nil"/>
              <w:bottom w:val="single" w:color="000000" w:sz="12" w:space="0"/>
              <w:right w:val="nil"/>
            </w:tcBorders>
            <w:shd w:val="clear" w:color="auto" w:fill="FFFFFF"/>
            <w:noWrap/>
            <w:vAlign w:val="center"/>
          </w:tcPr>
          <w:p w14:paraId="46E36895">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60</w:t>
            </w:r>
          </w:p>
        </w:tc>
        <w:tc>
          <w:tcPr>
            <w:tcW w:w="667" w:type="pct"/>
            <w:tcBorders>
              <w:top w:val="nil"/>
              <w:left w:val="nil"/>
              <w:bottom w:val="single" w:color="000000" w:sz="12" w:space="0"/>
              <w:right w:val="nil"/>
            </w:tcBorders>
            <w:shd w:val="clear" w:color="auto" w:fill="FFFFFF"/>
            <w:noWrap/>
            <w:vAlign w:val="center"/>
          </w:tcPr>
          <w:p w14:paraId="353F57CC">
            <w:pPr>
              <w:jc w:val="center"/>
              <w:rPr>
                <w:rFonts w:hint="eastAsia" w:ascii="宋体" w:hAnsi="宋体" w:eastAsia="宋体" w:cs="宋体"/>
                <w:b w:val="0"/>
                <w:i w:val="0"/>
                <w:iCs w:val="0"/>
                <w:color w:val="000000"/>
                <w:sz w:val="18"/>
                <w:szCs w:val="18"/>
                <w:u w:val="none"/>
              </w:rPr>
            </w:pPr>
          </w:p>
        </w:tc>
        <w:tc>
          <w:tcPr>
            <w:tcW w:w="700" w:type="pct"/>
            <w:tcBorders>
              <w:top w:val="nil"/>
              <w:left w:val="nil"/>
              <w:bottom w:val="single" w:color="000000" w:sz="12" w:space="0"/>
              <w:right w:val="nil"/>
            </w:tcBorders>
            <w:shd w:val="clear" w:color="auto" w:fill="FFFFFF"/>
            <w:noWrap/>
            <w:vAlign w:val="center"/>
          </w:tcPr>
          <w:p w14:paraId="62AF9C62">
            <w:pPr>
              <w:jc w:val="center"/>
              <w:rPr>
                <w:rFonts w:hint="eastAsia" w:ascii="宋体" w:hAnsi="宋体" w:eastAsia="宋体" w:cs="宋体"/>
                <w:b w:val="0"/>
                <w:i w:val="0"/>
                <w:iCs w:val="0"/>
                <w:color w:val="000000"/>
                <w:sz w:val="18"/>
                <w:szCs w:val="18"/>
                <w:u w:val="none"/>
              </w:rPr>
            </w:pPr>
          </w:p>
        </w:tc>
        <w:tc>
          <w:tcPr>
            <w:tcW w:w="667" w:type="pct"/>
            <w:tcBorders>
              <w:top w:val="nil"/>
              <w:left w:val="nil"/>
              <w:bottom w:val="single" w:color="000000" w:sz="12" w:space="0"/>
              <w:right w:val="nil"/>
            </w:tcBorders>
            <w:shd w:val="clear" w:color="auto" w:fill="FFFFFF"/>
            <w:noWrap/>
            <w:vAlign w:val="center"/>
          </w:tcPr>
          <w:p w14:paraId="1F1E0C8D">
            <w:pPr>
              <w:jc w:val="center"/>
              <w:rPr>
                <w:rFonts w:hint="eastAsia" w:ascii="宋体" w:hAnsi="宋体" w:eastAsia="宋体" w:cs="宋体"/>
                <w:b w:val="0"/>
                <w:i w:val="0"/>
                <w:iCs w:val="0"/>
                <w:color w:val="000000"/>
                <w:sz w:val="18"/>
                <w:szCs w:val="18"/>
                <w:u w:val="none"/>
              </w:rPr>
            </w:pPr>
          </w:p>
        </w:tc>
        <w:tc>
          <w:tcPr>
            <w:tcW w:w="667" w:type="pct"/>
            <w:tcBorders>
              <w:top w:val="nil"/>
              <w:left w:val="nil"/>
              <w:bottom w:val="single" w:color="000000" w:sz="12" w:space="0"/>
              <w:right w:val="nil"/>
            </w:tcBorders>
            <w:shd w:val="clear" w:color="auto" w:fill="FFFFFF"/>
            <w:noWrap/>
            <w:vAlign w:val="center"/>
          </w:tcPr>
          <w:p w14:paraId="3C3439D6">
            <w:pPr>
              <w:jc w:val="center"/>
              <w:rPr>
                <w:rFonts w:hint="eastAsia" w:ascii="宋体" w:hAnsi="宋体" w:eastAsia="宋体" w:cs="宋体"/>
                <w:b w:val="0"/>
                <w:i w:val="0"/>
                <w:iCs w:val="0"/>
                <w:color w:val="000000"/>
                <w:sz w:val="18"/>
                <w:szCs w:val="18"/>
                <w:u w:val="none"/>
              </w:rPr>
            </w:pPr>
          </w:p>
        </w:tc>
      </w:tr>
    </w:tbl>
    <w:p w14:paraId="75BF61D0">
      <w:pPr>
        <w:rPr>
          <w:rFonts w:hint="default" w:ascii="宋体" w:hAnsi="宋体" w:eastAsia="宋体" w:cs="宋体"/>
          <w:sz w:val="18"/>
          <w:szCs w:val="18"/>
          <w:lang w:val="en-US" w:eastAsia="zh-CN"/>
        </w:rPr>
      </w:pPr>
      <w:r>
        <w:rPr>
          <w:rFonts w:hint="eastAsia" w:ascii="宋体" w:hAnsi="宋体" w:eastAsia="宋体" w:cs="宋体"/>
          <w:sz w:val="18"/>
          <w:szCs w:val="18"/>
          <w:lang w:val="en-US" w:eastAsia="zh-CN"/>
        </w:rPr>
        <w:t>Note. R Squared = .997 (Adjusted R Squared = .997)</w:t>
      </w:r>
      <w:r>
        <w:rPr>
          <w:rFonts w:hint="default" w:ascii="宋体" w:hAnsi="宋体" w:eastAsia="宋体" w:cs="宋体"/>
          <w:sz w:val="18"/>
          <w:szCs w:val="18"/>
          <w:lang w:val="en-US" w:eastAsia="zh-CN"/>
        </w:rPr>
        <w:t>.</w:t>
      </w:r>
    </w:p>
    <w:p w14:paraId="00D0E6F4">
      <w:pPr>
        <w:keepNext w:val="0"/>
        <w:keepLines w:val="0"/>
        <w:pageBreakBefore w:val="0"/>
        <w:widowControl w:val="0"/>
        <w:kinsoku/>
        <w:wordWrap/>
        <w:overflowPunct/>
        <w:topLinePunct w:val="0"/>
        <w:autoSpaceDE/>
        <w:autoSpaceDN/>
        <w:bidi w:val="0"/>
        <w:adjustRightInd/>
        <w:snapToGrid/>
        <w:spacing w:line="360" w:lineRule="auto"/>
        <w:ind w:firstLine="420" w:firstLineChars="200"/>
        <w:textAlignment w:val="auto"/>
        <w:rPr>
          <w:rFonts w:hint="eastAsia" w:ascii="方正仿宋_GB2312" w:hAnsi="方正仿宋_GB2312" w:eastAsia="方正仿宋_GB2312" w:cs="方正仿宋_GB2312"/>
          <w:sz w:val="21"/>
          <w:szCs w:val="21"/>
          <w:lang w:val="en-US" w:eastAsia="zh-CN"/>
        </w:rPr>
      </w:pPr>
      <w:r>
        <w:rPr>
          <w:rFonts w:hint="eastAsia" w:ascii="方正仿宋_GB2312" w:hAnsi="方正仿宋_GB2312" w:eastAsia="方正仿宋_GB2312" w:cs="方正仿宋_GB2312"/>
          <w:sz w:val="21"/>
          <w:szCs w:val="21"/>
          <w:lang w:val="en-US" w:eastAsia="zh-CN"/>
        </w:rPr>
        <w:t>表1协方差回归斜率齐性检验结果显示，</w:t>
      </w:r>
      <w:r>
        <w:rPr>
          <w:rFonts w:hint="default" w:ascii="方正仿宋_GB2312" w:hAnsi="方正仿宋_GB2312" w:eastAsia="方正仿宋_GB2312" w:cs="方正仿宋_GB2312"/>
          <w:sz w:val="21"/>
          <w:szCs w:val="21"/>
          <w:lang w:val="en-US" w:eastAsia="zh-CN"/>
        </w:rPr>
        <w:t>修正模型整体显著，</w:t>
      </w:r>
      <w:r>
        <w:rPr>
          <w:rFonts w:hint="eastAsia" w:ascii="方正仿宋_GB2312" w:hAnsi="方正仿宋_GB2312" w:eastAsia="方正仿宋_GB2312" w:cs="方正仿宋_GB2312"/>
          <w:sz w:val="21"/>
          <w:szCs w:val="21"/>
          <w:lang w:val="en-US" w:eastAsia="zh-CN"/>
        </w:rPr>
        <w:t>（</w:t>
      </w:r>
      <w:r>
        <w:rPr>
          <w:rFonts w:hint="default" w:ascii="方正仿宋_GB2312" w:hAnsi="方正仿宋_GB2312" w:eastAsia="方正仿宋_GB2312" w:cs="方正仿宋_GB2312"/>
          <w:sz w:val="21"/>
          <w:szCs w:val="21"/>
          <w:lang w:val="en-US" w:eastAsia="zh-CN"/>
        </w:rPr>
        <w:t>F(3, 56) = 6627.06，p &lt; .001，调整R² = .997</w:t>
      </w:r>
      <w:r>
        <w:rPr>
          <w:rFonts w:hint="eastAsia" w:ascii="方正仿宋_GB2312" w:hAnsi="方正仿宋_GB2312" w:eastAsia="方正仿宋_GB2312" w:cs="方正仿宋_GB2312"/>
          <w:sz w:val="21"/>
          <w:szCs w:val="21"/>
          <w:lang w:val="en-US" w:eastAsia="zh-CN"/>
        </w:rPr>
        <w:t>）。分组与前测的交互项（Group * Pre，即分组×前测）检验结果为 F(1, 56) = 3469.54，p &lt; .001，偏η² = 0.984。交互效应达到统计学显著性水平，表明前测对后测的回归斜率在两组间存在显著差异，违背ANCOVA回归斜率齐性前提假设。</w:t>
      </w:r>
    </w:p>
    <w:p w14:paraId="48928A5C">
      <w:pPr>
        <w:keepNext w:val="0"/>
        <w:keepLines w:val="0"/>
        <w:pageBreakBefore w:val="0"/>
        <w:widowControl w:val="0"/>
        <w:kinsoku/>
        <w:wordWrap/>
        <w:overflowPunct/>
        <w:topLinePunct w:val="0"/>
        <w:autoSpaceDE/>
        <w:autoSpaceDN/>
        <w:bidi w:val="0"/>
        <w:adjustRightInd/>
        <w:snapToGrid/>
        <w:spacing w:line="360" w:lineRule="auto"/>
        <w:ind w:firstLine="420" w:firstLineChars="200"/>
        <w:textAlignment w:val="auto"/>
        <w:rPr>
          <w:rFonts w:hint="default" w:ascii="方正仿宋_GB2312" w:hAnsi="方正仿宋_GB2312" w:eastAsia="方正仿宋_GB2312" w:cs="方正仿宋_GB2312"/>
          <w:sz w:val="21"/>
          <w:szCs w:val="21"/>
          <w:lang w:val="en-US" w:eastAsia="zh-CN"/>
        </w:rPr>
      </w:pPr>
      <w:r>
        <w:rPr>
          <w:rFonts w:hint="default" w:ascii="方正仿宋_GB2312" w:hAnsi="方正仿宋_GB2312" w:eastAsia="方正仿宋_GB2312" w:cs="方正仿宋_GB2312"/>
          <w:sz w:val="21"/>
          <w:szCs w:val="21"/>
          <w:lang w:val="en-US" w:eastAsia="zh-CN"/>
        </w:rPr>
        <w:t xml:space="preserve">2. </w:t>
      </w:r>
      <w:r>
        <w:rPr>
          <w:rFonts w:hint="eastAsia" w:ascii="方正仿宋_GB2312" w:hAnsi="方正仿宋_GB2312" w:eastAsia="方正仿宋_GB2312" w:cs="方正仿宋_GB2312"/>
          <w:sz w:val="21"/>
          <w:szCs w:val="21"/>
          <w:lang w:val="en-US" w:eastAsia="zh-CN"/>
        </w:rPr>
        <w:t>多元回归与简单斜率分析</w:t>
      </w:r>
    </w:p>
    <w:p w14:paraId="3F4CF132">
      <w:pPr>
        <w:keepNext w:val="0"/>
        <w:keepLines w:val="0"/>
        <w:pageBreakBefore w:val="0"/>
        <w:widowControl w:val="0"/>
        <w:kinsoku/>
        <w:wordWrap/>
        <w:overflowPunct/>
        <w:topLinePunct w:val="0"/>
        <w:autoSpaceDE/>
        <w:autoSpaceDN/>
        <w:bidi w:val="0"/>
        <w:adjustRightInd/>
        <w:snapToGrid/>
        <w:spacing w:line="360" w:lineRule="auto"/>
        <w:ind w:firstLine="420" w:firstLineChars="200"/>
        <w:textAlignment w:val="auto"/>
        <w:rPr>
          <w:rFonts w:hint="eastAsia" w:ascii="方正仿宋_GB2312" w:hAnsi="方正仿宋_GB2312" w:eastAsia="方正仿宋_GB2312" w:cs="方正仿宋_GB2312"/>
          <w:sz w:val="21"/>
          <w:szCs w:val="21"/>
          <w:lang w:val="en-US" w:eastAsia="zh-CN"/>
        </w:rPr>
      </w:pPr>
      <w:r>
        <w:rPr>
          <w:rFonts w:hint="eastAsia" w:ascii="方正仿宋_GB2312" w:hAnsi="方正仿宋_GB2312" w:eastAsia="方正仿宋_GB2312" w:cs="方正仿宋_GB2312"/>
          <w:sz w:val="21"/>
          <w:szCs w:val="21"/>
          <w:lang w:val="en-US" w:eastAsia="zh-CN"/>
        </w:rPr>
        <w:t>协方差回归斜率不齐表明组间差异的大小会随协变量的取值变化而变化。为了完整保留协变量信息、明确干预效应随协变量的变化规律，构建多元回归模型（因变量：后测；自变量：分组、前测、分组*前测）并进行简单斜率分析，计算协变量取均值、均值±1标准差等典型值时的组间效应。</w:t>
      </w:r>
    </w:p>
    <w:p w14:paraId="5267B4AB">
      <w:pPr>
        <w:keepNext w:val="0"/>
        <w:keepLines w:val="0"/>
        <w:pageBreakBefore w:val="0"/>
        <w:widowControl w:val="0"/>
        <w:kinsoku/>
        <w:wordWrap/>
        <w:overflowPunct/>
        <w:topLinePunct w:val="0"/>
        <w:autoSpaceDE/>
        <w:autoSpaceDN/>
        <w:bidi w:val="0"/>
        <w:adjustRightInd/>
        <w:snapToGrid/>
        <w:spacing w:line="360" w:lineRule="auto"/>
        <w:ind w:firstLine="0" w:firstLineChars="0"/>
        <w:jc w:val="both"/>
        <w:textAlignment w:val="auto"/>
        <w:rPr>
          <w:rFonts w:hint="eastAsia" w:ascii="宋体" w:hAnsi="宋体" w:eastAsia="宋体" w:cs="宋体"/>
          <w:b/>
          <w:bCs/>
          <w:i w:val="0"/>
          <w:iCs w:val="0"/>
          <w:sz w:val="18"/>
          <w:szCs w:val="18"/>
          <w:lang w:val="en-US" w:eastAsia="zh-CN"/>
        </w:rPr>
      </w:pPr>
      <w:r>
        <w:rPr>
          <w:rFonts w:hint="eastAsia" w:ascii="宋体" w:hAnsi="宋体" w:eastAsia="宋体" w:cs="宋体"/>
          <w:b/>
          <w:bCs/>
          <w:i w:val="0"/>
          <w:iCs w:val="0"/>
          <w:sz w:val="18"/>
          <w:szCs w:val="18"/>
          <w:lang w:val="en-US" w:eastAsia="zh-CN"/>
        </w:rPr>
        <w:t>Table</w:t>
      </w:r>
      <w:r>
        <w:rPr>
          <w:rFonts w:hint="default" w:ascii="宋体" w:hAnsi="宋体" w:eastAsia="宋体" w:cs="宋体"/>
          <w:b/>
          <w:bCs/>
          <w:i w:val="0"/>
          <w:iCs w:val="0"/>
          <w:sz w:val="18"/>
          <w:szCs w:val="18"/>
          <w:lang w:val="en-US" w:eastAsia="zh-CN"/>
        </w:rPr>
        <w:t xml:space="preserve"> 2</w:t>
      </w:r>
      <w:r>
        <w:rPr>
          <w:rFonts w:hint="eastAsia" w:ascii="宋体" w:hAnsi="宋体" w:eastAsia="宋体" w:cs="宋体"/>
          <w:b/>
          <w:bCs/>
          <w:i w:val="0"/>
          <w:iCs w:val="0"/>
          <w:sz w:val="18"/>
          <w:szCs w:val="18"/>
          <w:lang w:val="en-US" w:eastAsia="zh-CN"/>
        </w:rPr>
        <w:t xml:space="preserve"> </w:t>
      </w:r>
    </w:p>
    <w:p w14:paraId="6F8195DD">
      <w:pPr>
        <w:keepNext w:val="0"/>
        <w:keepLines w:val="0"/>
        <w:pageBreakBefore w:val="0"/>
        <w:widowControl w:val="0"/>
        <w:kinsoku/>
        <w:wordWrap/>
        <w:overflowPunct/>
        <w:topLinePunct w:val="0"/>
        <w:autoSpaceDE/>
        <w:autoSpaceDN/>
        <w:bidi w:val="0"/>
        <w:adjustRightInd/>
        <w:snapToGrid/>
        <w:spacing w:line="360" w:lineRule="auto"/>
        <w:ind w:firstLine="0" w:firstLineChars="0"/>
        <w:jc w:val="both"/>
        <w:textAlignment w:val="auto"/>
        <w:rPr>
          <w:rFonts w:hint="eastAsia" w:ascii="宋体" w:hAnsi="宋体" w:eastAsia="宋体" w:cs="宋体"/>
          <w:i/>
          <w:iCs/>
          <w:sz w:val="18"/>
          <w:szCs w:val="18"/>
          <w:lang w:val="en-US" w:eastAsia="zh-CN"/>
        </w:rPr>
      </w:pPr>
      <w:r>
        <w:rPr>
          <w:rFonts w:hint="eastAsia" w:ascii="宋体" w:hAnsi="宋体" w:eastAsia="宋体" w:cs="宋体"/>
          <w:i/>
          <w:iCs/>
          <w:sz w:val="18"/>
          <w:szCs w:val="18"/>
          <w:lang w:val="en-US" w:eastAsia="zh-CN"/>
        </w:rPr>
        <w:t>Linear Regression Results for Testing the Homogeneity of Regression Slopes Assumption for ANCOVA</w:t>
      </w:r>
    </w:p>
    <w:p w14:paraId="1A1839D2">
      <w:pPr>
        <w:keepNext w:val="0"/>
        <w:keepLines w:val="0"/>
        <w:pageBreakBefore w:val="0"/>
        <w:widowControl w:val="0"/>
        <w:kinsoku/>
        <w:wordWrap/>
        <w:overflowPunct/>
        <w:topLinePunct w:val="0"/>
        <w:autoSpaceDE/>
        <w:autoSpaceDN/>
        <w:bidi w:val="0"/>
        <w:adjustRightInd/>
        <w:snapToGrid/>
        <w:spacing w:line="360" w:lineRule="auto"/>
        <w:ind w:firstLine="0" w:firstLineChars="0"/>
        <w:jc w:val="right"/>
        <w:textAlignment w:val="auto"/>
        <w:rPr>
          <w:rFonts w:hint="eastAsia" w:ascii="宋体" w:hAnsi="宋体" w:eastAsia="宋体" w:cs="宋体"/>
          <w:i/>
          <w:iCs/>
          <w:sz w:val="18"/>
          <w:szCs w:val="18"/>
          <w:lang w:val="en-US" w:eastAsia="zh-CN"/>
        </w:rPr>
      </w:pPr>
      <w:r>
        <w:rPr>
          <w:rFonts w:hint="eastAsia" w:ascii="宋体" w:hAnsi="宋体" w:eastAsia="宋体" w:cs="宋体"/>
          <w:i/>
          <w:iCs/>
          <w:sz w:val="18"/>
          <w:szCs w:val="18"/>
          <w:lang w:val="en-US" w:eastAsia="zh-CN"/>
        </w:rPr>
        <w:t>Dependent Variable: Posttest Score</w:t>
      </w:r>
    </w:p>
    <w:tbl>
      <w:tblPr>
        <w:tblStyle w:val="2"/>
        <w:tblW w:w="4996"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1537"/>
        <w:gridCol w:w="739"/>
        <w:gridCol w:w="989"/>
        <w:gridCol w:w="740"/>
        <w:gridCol w:w="740"/>
        <w:gridCol w:w="740"/>
        <w:gridCol w:w="810"/>
        <w:gridCol w:w="740"/>
        <w:gridCol w:w="740"/>
        <w:gridCol w:w="740"/>
      </w:tblGrid>
      <w:tr w14:paraId="03C79B28">
        <w:trPr>
          <w:trHeight w:val="352" w:hRule="atLeast"/>
        </w:trPr>
        <w:tc>
          <w:tcPr>
            <w:tcW w:w="906" w:type="pct"/>
            <w:tcBorders>
              <w:top w:val="single" w:color="000000" w:sz="12" w:space="0"/>
              <w:left w:val="nil"/>
              <w:bottom w:val="single" w:color="000000" w:sz="4" w:space="0"/>
              <w:right w:val="nil"/>
              <w:tl2br w:val="nil"/>
            </w:tcBorders>
            <w:shd w:val="clear" w:color="auto" w:fill="FFFFFF"/>
            <w:noWrap/>
            <w:vAlign w:val="center"/>
          </w:tcPr>
          <w:p w14:paraId="6787D2E9">
            <w:pPr>
              <w:jc w:val="center"/>
              <w:rPr>
                <w:rFonts w:hint="eastAsia" w:ascii="宋体" w:hAnsi="宋体" w:eastAsia="宋体" w:cs="宋体"/>
                <w:b w:val="0"/>
                <w:i w:val="0"/>
                <w:iCs w:val="0"/>
                <w:color w:val="000000"/>
                <w:sz w:val="18"/>
                <w:szCs w:val="18"/>
                <w:u w:val="none"/>
              </w:rPr>
            </w:pPr>
          </w:p>
        </w:tc>
        <w:tc>
          <w:tcPr>
            <w:tcW w:w="438" w:type="pct"/>
            <w:tcBorders>
              <w:top w:val="single" w:color="000000" w:sz="12" w:space="0"/>
              <w:left w:val="nil"/>
              <w:bottom w:val="single" w:color="000000" w:sz="4" w:space="0"/>
              <w:right w:val="nil"/>
            </w:tcBorders>
            <w:shd w:val="clear" w:color="auto" w:fill="FFFFFF"/>
            <w:noWrap/>
            <w:vAlign w:val="center"/>
          </w:tcPr>
          <w:p w14:paraId="1477A59B">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R-Sq</w:t>
            </w:r>
          </w:p>
        </w:tc>
        <w:tc>
          <w:tcPr>
            <w:tcW w:w="584" w:type="pct"/>
            <w:tcBorders>
              <w:top w:val="single" w:color="000000" w:sz="12" w:space="0"/>
              <w:left w:val="nil"/>
              <w:bottom w:val="single" w:color="000000" w:sz="4" w:space="0"/>
              <w:right w:val="nil"/>
            </w:tcBorders>
            <w:shd w:val="clear" w:color="auto" w:fill="FFFFFF"/>
            <w:noWrap/>
            <w:vAlign w:val="center"/>
          </w:tcPr>
          <w:p w14:paraId="71D8120F">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F(df1,df2)</w:t>
            </w:r>
          </w:p>
        </w:tc>
        <w:tc>
          <w:tcPr>
            <w:tcW w:w="438" w:type="pct"/>
            <w:tcBorders>
              <w:top w:val="single" w:color="000000" w:sz="12" w:space="0"/>
              <w:left w:val="nil"/>
              <w:bottom w:val="single" w:color="000000" w:sz="4" w:space="0"/>
              <w:right w:val="nil"/>
            </w:tcBorders>
            <w:shd w:val="clear" w:color="auto" w:fill="FFFFFF"/>
            <w:noWrap/>
            <w:vAlign w:val="center"/>
          </w:tcPr>
          <w:p w14:paraId="45CA13DF">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p</w:t>
            </w:r>
          </w:p>
        </w:tc>
        <w:tc>
          <w:tcPr>
            <w:tcW w:w="438" w:type="pct"/>
            <w:tcBorders>
              <w:top w:val="single" w:color="000000" w:sz="12" w:space="0"/>
              <w:left w:val="nil"/>
              <w:bottom w:val="single" w:color="000000" w:sz="4" w:space="0"/>
              <w:right w:val="nil"/>
            </w:tcBorders>
            <w:shd w:val="clear" w:color="auto" w:fill="FFFFFF"/>
            <w:noWrap/>
            <w:vAlign w:val="center"/>
          </w:tcPr>
          <w:p w14:paraId="7D4DD5C2">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coeff</w:t>
            </w:r>
          </w:p>
        </w:tc>
        <w:tc>
          <w:tcPr>
            <w:tcW w:w="438" w:type="pct"/>
            <w:tcBorders>
              <w:top w:val="single" w:color="000000" w:sz="12" w:space="0"/>
              <w:left w:val="nil"/>
              <w:bottom w:val="single" w:color="000000" w:sz="4" w:space="0"/>
              <w:right w:val="nil"/>
            </w:tcBorders>
            <w:shd w:val="clear" w:color="auto" w:fill="FFFFFF"/>
            <w:noWrap/>
            <w:vAlign w:val="center"/>
          </w:tcPr>
          <w:p w14:paraId="084B75A4">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se</w:t>
            </w:r>
          </w:p>
        </w:tc>
        <w:tc>
          <w:tcPr>
            <w:tcW w:w="438" w:type="pct"/>
            <w:tcBorders>
              <w:top w:val="single" w:color="000000" w:sz="12" w:space="0"/>
              <w:left w:val="nil"/>
              <w:bottom w:val="single" w:color="000000" w:sz="4" w:space="0"/>
              <w:right w:val="nil"/>
            </w:tcBorders>
            <w:shd w:val="clear" w:color="auto" w:fill="FFFFFF"/>
            <w:noWrap/>
            <w:vAlign w:val="center"/>
          </w:tcPr>
          <w:p w14:paraId="436FA400">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t</w:t>
            </w:r>
          </w:p>
        </w:tc>
        <w:tc>
          <w:tcPr>
            <w:tcW w:w="438" w:type="pct"/>
            <w:tcBorders>
              <w:top w:val="single" w:color="000000" w:sz="12" w:space="0"/>
              <w:left w:val="nil"/>
              <w:bottom w:val="single" w:color="000000" w:sz="4" w:space="0"/>
              <w:right w:val="nil"/>
            </w:tcBorders>
            <w:shd w:val="clear" w:color="auto" w:fill="FFFFFF"/>
            <w:noWrap/>
            <w:vAlign w:val="center"/>
          </w:tcPr>
          <w:p w14:paraId="1461B6ED">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p</w:t>
            </w:r>
          </w:p>
        </w:tc>
        <w:tc>
          <w:tcPr>
            <w:tcW w:w="438" w:type="pct"/>
            <w:tcBorders>
              <w:top w:val="single" w:color="000000" w:sz="12" w:space="0"/>
              <w:left w:val="nil"/>
              <w:bottom w:val="single" w:color="000000" w:sz="4" w:space="0"/>
              <w:right w:val="nil"/>
            </w:tcBorders>
            <w:shd w:val="clear" w:color="auto" w:fill="FFFFFF"/>
            <w:noWrap/>
            <w:vAlign w:val="center"/>
          </w:tcPr>
          <w:p w14:paraId="06852840">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LLCI</w:t>
            </w:r>
          </w:p>
        </w:tc>
        <w:tc>
          <w:tcPr>
            <w:tcW w:w="438" w:type="pct"/>
            <w:tcBorders>
              <w:top w:val="single" w:color="000000" w:sz="12" w:space="0"/>
              <w:left w:val="nil"/>
              <w:bottom w:val="single" w:color="000000" w:sz="4" w:space="0"/>
              <w:right w:val="nil"/>
            </w:tcBorders>
            <w:shd w:val="clear" w:color="auto" w:fill="FFFFFF"/>
            <w:noWrap/>
            <w:vAlign w:val="center"/>
          </w:tcPr>
          <w:p w14:paraId="24DCDA79">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ULCI</w:t>
            </w:r>
          </w:p>
        </w:tc>
      </w:tr>
      <w:tr w14:paraId="70ED8324">
        <w:trPr>
          <w:trHeight w:val="352" w:hRule="atLeast"/>
        </w:trPr>
        <w:tc>
          <w:tcPr>
            <w:tcW w:w="906" w:type="pct"/>
            <w:tcBorders>
              <w:top w:val="single" w:color="000000" w:sz="4" w:space="0"/>
              <w:left w:val="nil"/>
              <w:bottom w:val="nil"/>
              <w:right w:val="nil"/>
            </w:tcBorders>
            <w:shd w:val="clear" w:color="auto" w:fill="FFFFFF"/>
            <w:noWrap/>
            <w:vAlign w:val="center"/>
          </w:tcPr>
          <w:p w14:paraId="16571DBD">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constant</w:t>
            </w:r>
          </w:p>
        </w:tc>
        <w:tc>
          <w:tcPr>
            <w:tcW w:w="438" w:type="pct"/>
            <w:vMerge w:val="restart"/>
            <w:tcBorders>
              <w:top w:val="single" w:color="000000" w:sz="4" w:space="0"/>
              <w:left w:val="nil"/>
              <w:bottom w:val="nil"/>
              <w:right w:val="nil"/>
            </w:tcBorders>
            <w:shd w:val="clear" w:color="auto" w:fill="FFFFFF"/>
            <w:noWrap/>
            <w:vAlign w:val="center"/>
          </w:tcPr>
          <w:p w14:paraId="518DD35F">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0.997</w:t>
            </w:r>
          </w:p>
        </w:tc>
        <w:tc>
          <w:tcPr>
            <w:tcW w:w="584" w:type="pct"/>
            <w:vMerge w:val="restart"/>
            <w:tcBorders>
              <w:top w:val="single" w:color="000000" w:sz="4" w:space="0"/>
              <w:left w:val="nil"/>
              <w:bottom w:val="nil"/>
              <w:right w:val="nil"/>
            </w:tcBorders>
            <w:shd w:val="clear" w:color="auto" w:fill="FFFFFF"/>
            <w:vAlign w:val="center"/>
          </w:tcPr>
          <w:p w14:paraId="2A40FB2B">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6627.059</w:t>
            </w:r>
            <w:r>
              <w:rPr>
                <w:rFonts w:hint="eastAsia" w:ascii="宋体" w:hAnsi="宋体" w:eastAsia="宋体" w:cs="宋体"/>
                <w:b w:val="0"/>
                <w:i w:val="0"/>
                <w:iCs w:val="0"/>
                <w:color w:val="000000"/>
                <w:kern w:val="0"/>
                <w:sz w:val="18"/>
                <w:szCs w:val="18"/>
                <w:u w:val="none"/>
                <w:lang w:val="en-US" w:eastAsia="zh-CN" w:bidi="ar"/>
              </w:rPr>
              <w:br w:type="textWrapping"/>
            </w:r>
            <w:r>
              <w:rPr>
                <w:rFonts w:hint="eastAsia" w:ascii="宋体" w:hAnsi="宋体" w:eastAsia="宋体" w:cs="宋体"/>
                <w:b w:val="0"/>
                <w:i w:val="0"/>
                <w:iCs w:val="0"/>
                <w:color w:val="000000"/>
                <w:kern w:val="0"/>
                <w:sz w:val="18"/>
                <w:szCs w:val="18"/>
                <w:u w:val="none"/>
                <w:lang w:val="en-US" w:eastAsia="zh-CN" w:bidi="ar"/>
              </w:rPr>
              <w:t>(3,56)</w:t>
            </w:r>
          </w:p>
        </w:tc>
        <w:tc>
          <w:tcPr>
            <w:tcW w:w="438" w:type="pct"/>
            <w:vMerge w:val="restart"/>
            <w:tcBorders>
              <w:top w:val="single" w:color="000000" w:sz="4" w:space="0"/>
              <w:left w:val="nil"/>
              <w:bottom w:val="nil"/>
              <w:right w:val="nil"/>
            </w:tcBorders>
            <w:shd w:val="clear" w:color="auto" w:fill="FFFFFF"/>
            <w:noWrap/>
            <w:vAlign w:val="center"/>
          </w:tcPr>
          <w:p w14:paraId="15F746BB">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&lt; .001</w:t>
            </w:r>
          </w:p>
        </w:tc>
        <w:tc>
          <w:tcPr>
            <w:tcW w:w="438" w:type="pct"/>
            <w:tcBorders>
              <w:top w:val="single" w:color="000000" w:sz="4" w:space="0"/>
              <w:left w:val="nil"/>
              <w:bottom w:val="nil"/>
              <w:right w:val="nil"/>
            </w:tcBorders>
            <w:shd w:val="clear" w:color="auto" w:fill="FFFFFF"/>
            <w:noWrap/>
            <w:vAlign w:val="center"/>
          </w:tcPr>
          <w:p w14:paraId="0228D664">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6.789</w:t>
            </w:r>
          </w:p>
        </w:tc>
        <w:tc>
          <w:tcPr>
            <w:tcW w:w="438" w:type="pct"/>
            <w:tcBorders>
              <w:top w:val="single" w:color="000000" w:sz="4" w:space="0"/>
              <w:left w:val="nil"/>
              <w:bottom w:val="nil"/>
              <w:right w:val="nil"/>
            </w:tcBorders>
            <w:shd w:val="clear" w:color="auto" w:fill="FFFFFF"/>
            <w:noWrap/>
            <w:vAlign w:val="center"/>
          </w:tcPr>
          <w:p w14:paraId="6C8FBD02">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0.013</w:t>
            </w:r>
          </w:p>
        </w:tc>
        <w:tc>
          <w:tcPr>
            <w:tcW w:w="438" w:type="pct"/>
            <w:tcBorders>
              <w:top w:val="single" w:color="000000" w:sz="4" w:space="0"/>
              <w:left w:val="nil"/>
              <w:bottom w:val="nil"/>
              <w:right w:val="nil"/>
            </w:tcBorders>
            <w:shd w:val="clear" w:color="auto" w:fill="FFFFFF"/>
            <w:noWrap/>
            <w:vAlign w:val="center"/>
          </w:tcPr>
          <w:p w14:paraId="22226599">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532.192</w:t>
            </w:r>
          </w:p>
        </w:tc>
        <w:tc>
          <w:tcPr>
            <w:tcW w:w="740" w:type="dxa"/>
            <w:tcBorders>
              <w:top w:val="single" w:color="000000" w:sz="4" w:space="0"/>
              <w:left w:val="nil"/>
              <w:bottom w:val="nil"/>
              <w:right w:val="nil"/>
            </w:tcBorders>
            <w:shd w:val="clear" w:color="auto" w:fill="FFFFFF"/>
            <w:noWrap/>
            <w:vAlign w:val="center"/>
          </w:tcPr>
          <w:p w14:paraId="2162E2D5">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default" w:ascii="宋体" w:hAnsi="宋体" w:eastAsia="宋体" w:cs="宋体"/>
                <w:b w:val="0"/>
                <w:i w:val="0"/>
                <w:iCs w:val="0"/>
                <w:color w:val="000000"/>
                <w:sz w:val="18"/>
                <w:szCs w:val="18"/>
                <w:u w:val="none"/>
                <w:lang w:val="en-US"/>
              </w:rPr>
              <w:t>&lt; .001</w:t>
            </w:r>
          </w:p>
        </w:tc>
        <w:tc>
          <w:tcPr>
            <w:tcW w:w="438" w:type="pct"/>
            <w:tcBorders>
              <w:top w:val="single" w:color="000000" w:sz="4" w:space="0"/>
              <w:left w:val="nil"/>
              <w:bottom w:val="nil"/>
              <w:right w:val="nil"/>
            </w:tcBorders>
            <w:shd w:val="clear" w:color="auto" w:fill="FFFFFF"/>
            <w:noWrap/>
            <w:vAlign w:val="center"/>
          </w:tcPr>
          <w:p w14:paraId="30BFB37C">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6.763</w:t>
            </w:r>
          </w:p>
        </w:tc>
        <w:tc>
          <w:tcPr>
            <w:tcW w:w="438" w:type="pct"/>
            <w:tcBorders>
              <w:top w:val="single" w:color="000000" w:sz="4" w:space="0"/>
              <w:left w:val="nil"/>
              <w:bottom w:val="nil"/>
              <w:right w:val="nil"/>
            </w:tcBorders>
            <w:shd w:val="clear" w:color="auto" w:fill="FFFFFF"/>
            <w:noWrap/>
            <w:vAlign w:val="center"/>
          </w:tcPr>
          <w:p w14:paraId="0E6AF510">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6.815</w:t>
            </w:r>
          </w:p>
        </w:tc>
      </w:tr>
      <w:tr w14:paraId="69DBC0C6">
        <w:trPr>
          <w:trHeight w:val="352" w:hRule="atLeast"/>
        </w:trPr>
        <w:tc>
          <w:tcPr>
            <w:tcW w:w="906" w:type="pct"/>
            <w:tcBorders>
              <w:top w:val="nil"/>
              <w:left w:val="nil"/>
              <w:bottom w:val="nil"/>
              <w:right w:val="nil"/>
            </w:tcBorders>
            <w:shd w:val="clear" w:color="auto" w:fill="FFFFFF"/>
            <w:noWrap/>
            <w:vAlign w:val="center"/>
          </w:tcPr>
          <w:p w14:paraId="04D87155">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Group</w:t>
            </w:r>
          </w:p>
        </w:tc>
        <w:tc>
          <w:tcPr>
            <w:tcW w:w="438" w:type="pct"/>
            <w:vMerge w:val="continue"/>
            <w:tcBorders>
              <w:top w:val="nil"/>
              <w:left w:val="nil"/>
              <w:bottom w:val="nil"/>
              <w:right w:val="nil"/>
            </w:tcBorders>
            <w:shd w:val="clear" w:color="auto" w:fill="FFFFFF"/>
            <w:noWrap/>
            <w:vAlign w:val="center"/>
          </w:tcPr>
          <w:p w14:paraId="68C79BB1">
            <w:pPr>
              <w:jc w:val="center"/>
              <w:rPr>
                <w:rFonts w:hint="eastAsia" w:ascii="宋体" w:hAnsi="宋体" w:eastAsia="宋体" w:cs="宋体"/>
                <w:b w:val="0"/>
                <w:i w:val="0"/>
                <w:iCs w:val="0"/>
                <w:color w:val="000000"/>
                <w:sz w:val="18"/>
                <w:szCs w:val="18"/>
                <w:u w:val="none"/>
              </w:rPr>
            </w:pPr>
          </w:p>
        </w:tc>
        <w:tc>
          <w:tcPr>
            <w:tcW w:w="584" w:type="pct"/>
            <w:vMerge w:val="continue"/>
            <w:tcBorders>
              <w:top w:val="nil"/>
              <w:left w:val="nil"/>
              <w:bottom w:val="nil"/>
              <w:right w:val="nil"/>
            </w:tcBorders>
            <w:shd w:val="clear" w:color="auto" w:fill="FFFFFF"/>
            <w:vAlign w:val="center"/>
          </w:tcPr>
          <w:p w14:paraId="04D18861">
            <w:pPr>
              <w:jc w:val="center"/>
              <w:rPr>
                <w:rFonts w:hint="eastAsia" w:ascii="宋体" w:hAnsi="宋体" w:eastAsia="宋体" w:cs="宋体"/>
                <w:b w:val="0"/>
                <w:i w:val="0"/>
                <w:iCs w:val="0"/>
                <w:color w:val="000000"/>
                <w:sz w:val="18"/>
                <w:szCs w:val="18"/>
                <w:u w:val="none"/>
              </w:rPr>
            </w:pPr>
          </w:p>
        </w:tc>
        <w:tc>
          <w:tcPr>
            <w:tcW w:w="438" w:type="pct"/>
            <w:vMerge w:val="continue"/>
            <w:tcBorders>
              <w:top w:val="nil"/>
              <w:left w:val="nil"/>
              <w:bottom w:val="nil"/>
              <w:right w:val="nil"/>
            </w:tcBorders>
            <w:shd w:val="clear" w:color="auto" w:fill="FFFFFF"/>
            <w:noWrap/>
            <w:vAlign w:val="center"/>
          </w:tcPr>
          <w:p w14:paraId="57895D22">
            <w:pPr>
              <w:jc w:val="center"/>
              <w:rPr>
                <w:rFonts w:hint="eastAsia" w:ascii="宋体" w:hAnsi="宋体" w:eastAsia="宋体" w:cs="宋体"/>
                <w:b w:val="0"/>
                <w:i w:val="0"/>
                <w:iCs w:val="0"/>
                <w:color w:val="000000"/>
                <w:sz w:val="18"/>
                <w:szCs w:val="18"/>
                <w:u w:val="none"/>
              </w:rPr>
            </w:pPr>
          </w:p>
        </w:tc>
        <w:tc>
          <w:tcPr>
            <w:tcW w:w="438" w:type="pct"/>
            <w:tcBorders>
              <w:top w:val="nil"/>
              <w:left w:val="nil"/>
              <w:bottom w:val="nil"/>
              <w:right w:val="nil"/>
            </w:tcBorders>
            <w:shd w:val="clear" w:color="auto" w:fill="FFFFFF"/>
            <w:noWrap/>
            <w:vAlign w:val="center"/>
          </w:tcPr>
          <w:p w14:paraId="7663F038">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1.233</w:t>
            </w:r>
          </w:p>
        </w:tc>
        <w:tc>
          <w:tcPr>
            <w:tcW w:w="438" w:type="pct"/>
            <w:tcBorders>
              <w:top w:val="nil"/>
              <w:left w:val="nil"/>
              <w:bottom w:val="nil"/>
              <w:right w:val="nil"/>
            </w:tcBorders>
            <w:shd w:val="clear" w:color="auto" w:fill="FFFFFF"/>
            <w:noWrap/>
            <w:vAlign w:val="center"/>
          </w:tcPr>
          <w:p w14:paraId="670ABD6C">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0.018</w:t>
            </w:r>
          </w:p>
        </w:tc>
        <w:tc>
          <w:tcPr>
            <w:tcW w:w="438" w:type="pct"/>
            <w:tcBorders>
              <w:top w:val="nil"/>
              <w:left w:val="nil"/>
              <w:bottom w:val="nil"/>
              <w:right w:val="nil"/>
            </w:tcBorders>
            <w:shd w:val="clear" w:color="auto" w:fill="FFFFFF"/>
            <w:noWrap/>
            <w:vAlign w:val="center"/>
          </w:tcPr>
          <w:p w14:paraId="00A9505D">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68.374</w:t>
            </w:r>
          </w:p>
        </w:tc>
        <w:tc>
          <w:tcPr>
            <w:tcW w:w="740" w:type="dxa"/>
            <w:tcBorders>
              <w:top w:val="nil"/>
              <w:left w:val="nil"/>
              <w:bottom w:val="nil"/>
              <w:right w:val="nil"/>
            </w:tcBorders>
            <w:shd w:val="clear" w:color="auto" w:fill="FFFFFF"/>
            <w:noWrap/>
            <w:vAlign w:val="center"/>
          </w:tcPr>
          <w:p w14:paraId="328AED71">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default" w:ascii="宋体" w:hAnsi="宋体" w:eastAsia="宋体" w:cs="宋体"/>
                <w:b w:val="0"/>
                <w:i w:val="0"/>
                <w:iCs w:val="0"/>
                <w:color w:val="000000"/>
                <w:sz w:val="18"/>
                <w:szCs w:val="18"/>
                <w:u w:val="none"/>
                <w:lang w:val="en-US"/>
              </w:rPr>
              <w:t>&lt; .001</w:t>
            </w:r>
          </w:p>
        </w:tc>
        <w:tc>
          <w:tcPr>
            <w:tcW w:w="438" w:type="pct"/>
            <w:tcBorders>
              <w:top w:val="nil"/>
              <w:left w:val="nil"/>
              <w:bottom w:val="nil"/>
              <w:right w:val="nil"/>
            </w:tcBorders>
            <w:shd w:val="clear" w:color="auto" w:fill="FFFFFF"/>
            <w:noWrap/>
            <w:vAlign w:val="center"/>
          </w:tcPr>
          <w:p w14:paraId="22840FEF">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1.197</w:t>
            </w:r>
          </w:p>
        </w:tc>
        <w:tc>
          <w:tcPr>
            <w:tcW w:w="438" w:type="pct"/>
            <w:tcBorders>
              <w:top w:val="nil"/>
              <w:left w:val="nil"/>
              <w:bottom w:val="nil"/>
              <w:right w:val="nil"/>
            </w:tcBorders>
            <w:shd w:val="clear" w:color="auto" w:fill="FFFFFF"/>
            <w:noWrap/>
            <w:vAlign w:val="center"/>
          </w:tcPr>
          <w:p w14:paraId="19A0B5C7">
            <w:pPr>
              <w:keepNext w:val="0"/>
              <w:keepLines w:val="0"/>
              <w:widowControl/>
              <w:suppressLineNumbers w:val="0"/>
              <w:jc w:val="center"/>
              <w:textAlignment w:val="center"/>
              <w:rPr>
                <w:rFonts w:hint="default" w:ascii="宋体" w:hAnsi="宋体" w:eastAsia="宋体" w:cs="宋体"/>
                <w:b w:val="0"/>
                <w:i w:val="0"/>
                <w:iCs w:val="0"/>
                <w:color w:val="000000"/>
                <w:sz w:val="18"/>
                <w:szCs w:val="18"/>
                <w:u w:val="none"/>
                <w:lang w:val="en-US"/>
              </w:rPr>
            </w:pPr>
            <w:r>
              <w:rPr>
                <w:rFonts w:hint="eastAsia" w:ascii="宋体" w:hAnsi="宋体" w:eastAsia="宋体" w:cs="宋体"/>
                <w:b w:val="0"/>
                <w:i w:val="0"/>
                <w:iCs w:val="0"/>
                <w:color w:val="000000"/>
                <w:kern w:val="0"/>
                <w:sz w:val="18"/>
                <w:szCs w:val="18"/>
                <w:u w:val="none"/>
                <w:lang w:val="en-US" w:eastAsia="zh-CN" w:bidi="ar"/>
              </w:rPr>
              <w:t>1.27</w:t>
            </w:r>
            <w:r>
              <w:rPr>
                <w:rFonts w:hint="default" w:ascii="宋体" w:hAnsi="宋体" w:eastAsia="宋体" w:cs="宋体"/>
                <w:b w:val="0"/>
                <w:i w:val="0"/>
                <w:iCs w:val="0"/>
                <w:color w:val="000000"/>
                <w:kern w:val="0"/>
                <w:sz w:val="18"/>
                <w:szCs w:val="18"/>
                <w:u w:val="none"/>
                <w:lang w:val="en-US" w:eastAsia="zh-CN" w:bidi="ar"/>
              </w:rPr>
              <w:t>0</w:t>
            </w:r>
          </w:p>
        </w:tc>
      </w:tr>
      <w:tr w14:paraId="19EB7A85">
        <w:trPr>
          <w:trHeight w:val="352" w:hRule="atLeast"/>
        </w:trPr>
        <w:tc>
          <w:tcPr>
            <w:tcW w:w="906" w:type="pct"/>
            <w:tcBorders>
              <w:top w:val="nil"/>
              <w:left w:val="nil"/>
              <w:bottom w:val="nil"/>
              <w:right w:val="nil"/>
            </w:tcBorders>
            <w:shd w:val="clear" w:color="auto" w:fill="FFFFFF"/>
            <w:noWrap/>
            <w:vAlign w:val="center"/>
          </w:tcPr>
          <w:p w14:paraId="260EEEDC">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Pre_MC</w:t>
            </w:r>
          </w:p>
        </w:tc>
        <w:tc>
          <w:tcPr>
            <w:tcW w:w="438" w:type="pct"/>
            <w:vMerge w:val="continue"/>
            <w:tcBorders>
              <w:top w:val="nil"/>
              <w:left w:val="nil"/>
              <w:bottom w:val="nil"/>
              <w:right w:val="nil"/>
            </w:tcBorders>
            <w:shd w:val="clear" w:color="auto" w:fill="FFFFFF"/>
            <w:noWrap/>
            <w:vAlign w:val="center"/>
          </w:tcPr>
          <w:p w14:paraId="5FBC50BD">
            <w:pPr>
              <w:jc w:val="center"/>
              <w:rPr>
                <w:rFonts w:hint="eastAsia" w:ascii="宋体" w:hAnsi="宋体" w:eastAsia="宋体" w:cs="宋体"/>
                <w:b w:val="0"/>
                <w:i w:val="0"/>
                <w:iCs w:val="0"/>
                <w:color w:val="000000"/>
                <w:sz w:val="18"/>
                <w:szCs w:val="18"/>
                <w:u w:val="none"/>
              </w:rPr>
            </w:pPr>
          </w:p>
        </w:tc>
        <w:tc>
          <w:tcPr>
            <w:tcW w:w="584" w:type="pct"/>
            <w:vMerge w:val="continue"/>
            <w:tcBorders>
              <w:top w:val="nil"/>
              <w:left w:val="nil"/>
              <w:bottom w:val="nil"/>
              <w:right w:val="nil"/>
            </w:tcBorders>
            <w:shd w:val="clear" w:color="auto" w:fill="FFFFFF"/>
            <w:vAlign w:val="center"/>
          </w:tcPr>
          <w:p w14:paraId="72D1475C">
            <w:pPr>
              <w:jc w:val="center"/>
              <w:rPr>
                <w:rFonts w:hint="eastAsia" w:ascii="宋体" w:hAnsi="宋体" w:eastAsia="宋体" w:cs="宋体"/>
                <w:b w:val="0"/>
                <w:i w:val="0"/>
                <w:iCs w:val="0"/>
                <w:color w:val="000000"/>
                <w:sz w:val="18"/>
                <w:szCs w:val="18"/>
                <w:u w:val="none"/>
              </w:rPr>
            </w:pPr>
          </w:p>
        </w:tc>
        <w:tc>
          <w:tcPr>
            <w:tcW w:w="438" w:type="pct"/>
            <w:vMerge w:val="continue"/>
            <w:tcBorders>
              <w:top w:val="nil"/>
              <w:left w:val="nil"/>
              <w:bottom w:val="nil"/>
              <w:right w:val="nil"/>
            </w:tcBorders>
            <w:shd w:val="clear" w:color="auto" w:fill="FFFFFF"/>
            <w:noWrap/>
            <w:vAlign w:val="center"/>
          </w:tcPr>
          <w:p w14:paraId="7788FE7F">
            <w:pPr>
              <w:jc w:val="center"/>
              <w:rPr>
                <w:rFonts w:hint="eastAsia" w:ascii="宋体" w:hAnsi="宋体" w:eastAsia="宋体" w:cs="宋体"/>
                <w:b w:val="0"/>
                <w:i w:val="0"/>
                <w:iCs w:val="0"/>
                <w:color w:val="000000"/>
                <w:sz w:val="18"/>
                <w:szCs w:val="18"/>
                <w:u w:val="none"/>
              </w:rPr>
            </w:pPr>
          </w:p>
        </w:tc>
        <w:tc>
          <w:tcPr>
            <w:tcW w:w="438" w:type="pct"/>
            <w:tcBorders>
              <w:top w:val="nil"/>
              <w:left w:val="nil"/>
              <w:bottom w:val="nil"/>
              <w:right w:val="nil"/>
            </w:tcBorders>
            <w:shd w:val="clear" w:color="auto" w:fill="FFFFFF"/>
            <w:noWrap/>
            <w:vAlign w:val="center"/>
          </w:tcPr>
          <w:p w14:paraId="23FB409D">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0.868</w:t>
            </w:r>
          </w:p>
        </w:tc>
        <w:tc>
          <w:tcPr>
            <w:tcW w:w="438" w:type="pct"/>
            <w:tcBorders>
              <w:top w:val="nil"/>
              <w:left w:val="nil"/>
              <w:bottom w:val="nil"/>
              <w:right w:val="nil"/>
            </w:tcBorders>
            <w:shd w:val="clear" w:color="auto" w:fill="FFFFFF"/>
            <w:noWrap/>
            <w:vAlign w:val="center"/>
          </w:tcPr>
          <w:p w14:paraId="00CE98F5">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0.008</w:t>
            </w:r>
          </w:p>
        </w:tc>
        <w:tc>
          <w:tcPr>
            <w:tcW w:w="438" w:type="pct"/>
            <w:tcBorders>
              <w:top w:val="nil"/>
              <w:left w:val="nil"/>
              <w:bottom w:val="nil"/>
              <w:right w:val="nil"/>
            </w:tcBorders>
            <w:shd w:val="clear" w:color="auto" w:fill="FFFFFF"/>
            <w:noWrap/>
            <w:vAlign w:val="center"/>
          </w:tcPr>
          <w:p w14:paraId="12F21C99">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115.181</w:t>
            </w:r>
          </w:p>
        </w:tc>
        <w:tc>
          <w:tcPr>
            <w:tcW w:w="740" w:type="dxa"/>
            <w:tcBorders>
              <w:top w:val="nil"/>
              <w:left w:val="nil"/>
              <w:bottom w:val="nil"/>
              <w:right w:val="nil"/>
            </w:tcBorders>
            <w:shd w:val="clear" w:color="auto" w:fill="FFFFFF"/>
            <w:noWrap/>
            <w:vAlign w:val="center"/>
          </w:tcPr>
          <w:p w14:paraId="0DA4E2B4">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default" w:ascii="宋体" w:hAnsi="宋体" w:eastAsia="宋体" w:cs="宋体"/>
                <w:b w:val="0"/>
                <w:i w:val="0"/>
                <w:iCs w:val="0"/>
                <w:color w:val="000000"/>
                <w:sz w:val="18"/>
                <w:szCs w:val="18"/>
                <w:u w:val="none"/>
                <w:lang w:val="en-US"/>
              </w:rPr>
              <w:t>&lt; .001</w:t>
            </w:r>
          </w:p>
        </w:tc>
        <w:tc>
          <w:tcPr>
            <w:tcW w:w="438" w:type="pct"/>
            <w:tcBorders>
              <w:top w:val="nil"/>
              <w:left w:val="nil"/>
              <w:bottom w:val="nil"/>
              <w:right w:val="nil"/>
            </w:tcBorders>
            <w:shd w:val="clear" w:color="auto" w:fill="FFFFFF"/>
            <w:noWrap/>
            <w:vAlign w:val="center"/>
          </w:tcPr>
          <w:p w14:paraId="6832468D">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0.852</w:t>
            </w:r>
          </w:p>
        </w:tc>
        <w:tc>
          <w:tcPr>
            <w:tcW w:w="438" w:type="pct"/>
            <w:tcBorders>
              <w:top w:val="nil"/>
              <w:left w:val="nil"/>
              <w:bottom w:val="nil"/>
              <w:right w:val="nil"/>
            </w:tcBorders>
            <w:shd w:val="clear" w:color="auto" w:fill="FFFFFF"/>
            <w:noWrap/>
            <w:vAlign w:val="center"/>
          </w:tcPr>
          <w:p w14:paraId="1B66ADE0">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0.883</w:t>
            </w:r>
          </w:p>
        </w:tc>
      </w:tr>
      <w:tr w14:paraId="688827A7">
        <w:trPr>
          <w:trHeight w:val="352" w:hRule="atLeast"/>
        </w:trPr>
        <w:tc>
          <w:tcPr>
            <w:tcW w:w="906" w:type="pct"/>
            <w:tcBorders>
              <w:top w:val="nil"/>
              <w:left w:val="nil"/>
              <w:bottom w:val="single" w:color="000000" w:sz="12" w:space="0"/>
              <w:right w:val="nil"/>
            </w:tcBorders>
            <w:shd w:val="clear" w:color="auto" w:fill="FFFFFF"/>
            <w:noWrap/>
            <w:vAlign w:val="center"/>
          </w:tcPr>
          <w:p w14:paraId="4E7E398A">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Group*Pre_MC</w:t>
            </w:r>
          </w:p>
        </w:tc>
        <w:tc>
          <w:tcPr>
            <w:tcW w:w="438" w:type="pct"/>
            <w:vMerge w:val="continue"/>
            <w:tcBorders>
              <w:top w:val="nil"/>
              <w:left w:val="nil"/>
              <w:bottom w:val="single" w:color="000000" w:sz="12" w:space="0"/>
              <w:right w:val="nil"/>
            </w:tcBorders>
            <w:shd w:val="clear" w:color="auto" w:fill="FFFFFF"/>
            <w:noWrap/>
            <w:vAlign w:val="center"/>
          </w:tcPr>
          <w:p w14:paraId="1846BFE0">
            <w:pPr>
              <w:jc w:val="center"/>
              <w:rPr>
                <w:rFonts w:hint="eastAsia" w:ascii="宋体" w:hAnsi="宋体" w:eastAsia="宋体" w:cs="宋体"/>
                <w:b w:val="0"/>
                <w:i w:val="0"/>
                <w:iCs w:val="0"/>
                <w:color w:val="000000"/>
                <w:sz w:val="18"/>
                <w:szCs w:val="18"/>
                <w:u w:val="none"/>
              </w:rPr>
            </w:pPr>
          </w:p>
        </w:tc>
        <w:tc>
          <w:tcPr>
            <w:tcW w:w="584" w:type="pct"/>
            <w:vMerge w:val="continue"/>
            <w:tcBorders>
              <w:top w:val="nil"/>
              <w:left w:val="nil"/>
              <w:bottom w:val="single" w:color="000000" w:sz="12" w:space="0"/>
              <w:right w:val="nil"/>
            </w:tcBorders>
            <w:shd w:val="clear" w:color="auto" w:fill="FFFFFF"/>
            <w:vAlign w:val="center"/>
          </w:tcPr>
          <w:p w14:paraId="17DBF6F0">
            <w:pPr>
              <w:jc w:val="center"/>
              <w:rPr>
                <w:rFonts w:hint="eastAsia" w:ascii="宋体" w:hAnsi="宋体" w:eastAsia="宋体" w:cs="宋体"/>
                <w:b w:val="0"/>
                <w:i w:val="0"/>
                <w:iCs w:val="0"/>
                <w:color w:val="000000"/>
                <w:sz w:val="18"/>
                <w:szCs w:val="18"/>
                <w:u w:val="none"/>
              </w:rPr>
            </w:pPr>
          </w:p>
        </w:tc>
        <w:tc>
          <w:tcPr>
            <w:tcW w:w="438" w:type="pct"/>
            <w:vMerge w:val="continue"/>
            <w:tcBorders>
              <w:top w:val="nil"/>
              <w:left w:val="nil"/>
              <w:bottom w:val="single" w:color="000000" w:sz="12" w:space="0"/>
              <w:right w:val="nil"/>
            </w:tcBorders>
            <w:shd w:val="clear" w:color="auto" w:fill="FFFFFF"/>
            <w:noWrap/>
            <w:vAlign w:val="center"/>
          </w:tcPr>
          <w:p w14:paraId="4B56B2A5">
            <w:pPr>
              <w:jc w:val="center"/>
              <w:rPr>
                <w:rFonts w:hint="eastAsia" w:ascii="宋体" w:hAnsi="宋体" w:eastAsia="宋体" w:cs="宋体"/>
                <w:b w:val="0"/>
                <w:i w:val="0"/>
                <w:iCs w:val="0"/>
                <w:color w:val="000000"/>
                <w:sz w:val="18"/>
                <w:szCs w:val="18"/>
                <w:u w:val="none"/>
              </w:rPr>
            </w:pPr>
          </w:p>
        </w:tc>
        <w:tc>
          <w:tcPr>
            <w:tcW w:w="438" w:type="pct"/>
            <w:tcBorders>
              <w:top w:val="nil"/>
              <w:left w:val="nil"/>
              <w:bottom w:val="single" w:color="000000" w:sz="12" w:space="0"/>
              <w:right w:val="nil"/>
            </w:tcBorders>
            <w:shd w:val="clear" w:color="auto" w:fill="FFFFFF"/>
            <w:noWrap/>
            <w:vAlign w:val="center"/>
          </w:tcPr>
          <w:p w14:paraId="136C9C25">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-0.616</w:t>
            </w:r>
          </w:p>
        </w:tc>
        <w:tc>
          <w:tcPr>
            <w:tcW w:w="438" w:type="pct"/>
            <w:tcBorders>
              <w:top w:val="nil"/>
              <w:left w:val="nil"/>
              <w:bottom w:val="single" w:color="000000" w:sz="12" w:space="0"/>
              <w:right w:val="nil"/>
            </w:tcBorders>
            <w:shd w:val="clear" w:color="auto" w:fill="FFFFFF"/>
            <w:noWrap/>
            <w:vAlign w:val="center"/>
          </w:tcPr>
          <w:p w14:paraId="032002CF">
            <w:pPr>
              <w:keepNext w:val="0"/>
              <w:keepLines w:val="0"/>
              <w:widowControl/>
              <w:suppressLineNumbers w:val="0"/>
              <w:jc w:val="center"/>
              <w:textAlignment w:val="center"/>
              <w:rPr>
                <w:rFonts w:hint="default" w:ascii="宋体" w:hAnsi="宋体" w:eastAsia="宋体" w:cs="宋体"/>
                <w:b w:val="0"/>
                <w:i w:val="0"/>
                <w:iCs w:val="0"/>
                <w:color w:val="000000"/>
                <w:sz w:val="18"/>
                <w:szCs w:val="18"/>
                <w:u w:val="none"/>
                <w:lang w:val="en-US"/>
              </w:rPr>
            </w:pPr>
            <w:r>
              <w:rPr>
                <w:rFonts w:hint="eastAsia" w:ascii="宋体" w:hAnsi="宋体" w:eastAsia="宋体" w:cs="宋体"/>
                <w:b w:val="0"/>
                <w:i w:val="0"/>
                <w:iCs w:val="0"/>
                <w:color w:val="000000"/>
                <w:kern w:val="0"/>
                <w:sz w:val="18"/>
                <w:szCs w:val="18"/>
                <w:u w:val="none"/>
                <w:lang w:val="en-US" w:eastAsia="zh-CN" w:bidi="ar"/>
              </w:rPr>
              <w:t>0.01</w:t>
            </w:r>
            <w:r>
              <w:rPr>
                <w:rFonts w:hint="default" w:ascii="宋体" w:hAnsi="宋体" w:eastAsia="宋体" w:cs="宋体"/>
                <w:b w:val="0"/>
                <w:i w:val="0"/>
                <w:iCs w:val="0"/>
                <w:color w:val="000000"/>
                <w:kern w:val="0"/>
                <w:sz w:val="18"/>
                <w:szCs w:val="18"/>
                <w:u w:val="none"/>
                <w:lang w:val="en-US" w:eastAsia="zh-CN" w:bidi="ar"/>
              </w:rPr>
              <w:t>0</w:t>
            </w:r>
          </w:p>
        </w:tc>
        <w:tc>
          <w:tcPr>
            <w:tcW w:w="438" w:type="pct"/>
            <w:tcBorders>
              <w:top w:val="nil"/>
              <w:left w:val="nil"/>
              <w:bottom w:val="single" w:color="000000" w:sz="12" w:space="0"/>
              <w:right w:val="nil"/>
            </w:tcBorders>
            <w:shd w:val="clear" w:color="auto" w:fill="FFFFFF"/>
            <w:noWrap/>
            <w:vAlign w:val="center"/>
          </w:tcPr>
          <w:p w14:paraId="7D5DCB04">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-58.903</w:t>
            </w:r>
          </w:p>
        </w:tc>
        <w:tc>
          <w:tcPr>
            <w:tcW w:w="740" w:type="dxa"/>
            <w:tcBorders>
              <w:top w:val="nil"/>
              <w:left w:val="nil"/>
              <w:bottom w:val="single" w:color="000000" w:sz="12" w:space="0"/>
              <w:right w:val="nil"/>
            </w:tcBorders>
            <w:shd w:val="clear" w:color="auto" w:fill="FFFFFF"/>
            <w:noWrap/>
            <w:vAlign w:val="center"/>
          </w:tcPr>
          <w:p w14:paraId="0696D869">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default" w:ascii="宋体" w:hAnsi="宋体" w:eastAsia="宋体" w:cs="宋体"/>
                <w:b w:val="0"/>
                <w:i w:val="0"/>
                <w:iCs w:val="0"/>
                <w:color w:val="000000"/>
                <w:sz w:val="18"/>
                <w:szCs w:val="18"/>
                <w:u w:val="none"/>
                <w:lang w:val="en-US"/>
              </w:rPr>
              <w:t>&lt; .001</w:t>
            </w:r>
          </w:p>
        </w:tc>
        <w:tc>
          <w:tcPr>
            <w:tcW w:w="438" w:type="pct"/>
            <w:tcBorders>
              <w:top w:val="nil"/>
              <w:left w:val="nil"/>
              <w:bottom w:val="single" w:color="000000" w:sz="12" w:space="0"/>
              <w:right w:val="nil"/>
            </w:tcBorders>
            <w:shd w:val="clear" w:color="auto" w:fill="FFFFFF"/>
            <w:noWrap/>
            <w:vAlign w:val="center"/>
          </w:tcPr>
          <w:p w14:paraId="7DC42BFF">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-0.637</w:t>
            </w:r>
          </w:p>
        </w:tc>
        <w:tc>
          <w:tcPr>
            <w:tcW w:w="438" w:type="pct"/>
            <w:tcBorders>
              <w:top w:val="nil"/>
              <w:left w:val="nil"/>
              <w:bottom w:val="single" w:color="000000" w:sz="12" w:space="0"/>
              <w:right w:val="nil"/>
            </w:tcBorders>
            <w:shd w:val="clear" w:color="auto" w:fill="FFFFFF"/>
            <w:noWrap/>
            <w:vAlign w:val="center"/>
          </w:tcPr>
          <w:p w14:paraId="46E256A8">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-0.595</w:t>
            </w:r>
          </w:p>
        </w:tc>
      </w:tr>
    </w:tbl>
    <w:p w14:paraId="7F3800B9">
      <w:pPr>
        <w:rPr>
          <w:rFonts w:hint="default" w:ascii="宋体" w:hAnsi="宋体" w:eastAsia="宋体" w:cs="宋体"/>
          <w:sz w:val="18"/>
          <w:szCs w:val="18"/>
          <w:lang w:val="en-US" w:eastAsia="zh-CN"/>
        </w:rPr>
      </w:pPr>
      <w:r>
        <w:rPr>
          <w:rFonts w:hint="default" w:ascii="宋体" w:hAnsi="宋体" w:eastAsia="宋体" w:cs="宋体"/>
          <w:sz w:val="18"/>
          <w:szCs w:val="18"/>
          <w:lang w:val="en-US" w:eastAsia="zh-CN"/>
        </w:rPr>
        <w:t>Note. R-Sq Chng : F(1 , 56) = 3469.539 , p &lt; .001.</w:t>
      </w:r>
    </w:p>
    <w:p w14:paraId="73CE406C">
      <w:pPr>
        <w:keepNext w:val="0"/>
        <w:keepLines w:val="0"/>
        <w:pageBreakBefore w:val="0"/>
        <w:widowControl w:val="0"/>
        <w:kinsoku/>
        <w:wordWrap/>
        <w:overflowPunct/>
        <w:topLinePunct w:val="0"/>
        <w:autoSpaceDE/>
        <w:autoSpaceDN/>
        <w:bidi w:val="0"/>
        <w:adjustRightInd/>
        <w:snapToGrid/>
        <w:spacing w:line="360" w:lineRule="auto"/>
        <w:ind w:firstLine="420" w:firstLineChars="200"/>
        <w:textAlignment w:val="auto"/>
        <w:rPr>
          <w:rFonts w:hint="eastAsia" w:ascii="方正仿宋_GB2312" w:hAnsi="方正仿宋_GB2312" w:eastAsia="方正仿宋_GB2312" w:cs="方正仿宋_GB2312"/>
          <w:sz w:val="21"/>
          <w:szCs w:val="21"/>
          <w:lang w:val="en-US" w:eastAsia="zh-CN"/>
        </w:rPr>
      </w:pPr>
      <w:r>
        <w:rPr>
          <w:rFonts w:hint="eastAsia" w:ascii="方正仿宋_GB2312" w:hAnsi="方正仿宋_GB2312" w:eastAsia="方正仿宋_GB2312" w:cs="方正仿宋_GB2312"/>
          <w:sz w:val="21"/>
          <w:szCs w:val="21"/>
          <w:lang w:val="en-US" w:eastAsia="zh-CN"/>
        </w:rPr>
        <w:t>构建的多元回归模型拟合结果（表2）表明，回归模型拟合良好（R-Sq = 0.997 , F(3,56)=6627.059 , p &lt; .001, R-Sq显著：F(1 , 56) = 3469.539 , p &lt; .001.）。</w:t>
      </w:r>
    </w:p>
    <w:p w14:paraId="132498EC">
      <w:pPr>
        <w:keepNext w:val="0"/>
        <w:keepLines w:val="0"/>
        <w:pageBreakBefore w:val="0"/>
        <w:widowControl w:val="0"/>
        <w:kinsoku/>
        <w:wordWrap/>
        <w:overflowPunct/>
        <w:topLinePunct w:val="0"/>
        <w:autoSpaceDE/>
        <w:autoSpaceDN/>
        <w:bidi w:val="0"/>
        <w:adjustRightInd/>
        <w:snapToGrid/>
        <w:spacing w:line="360" w:lineRule="auto"/>
        <w:ind w:firstLine="420" w:firstLineChars="200"/>
        <w:textAlignment w:val="auto"/>
        <w:rPr>
          <w:rFonts w:hint="default" w:ascii="方正仿宋_GB2312" w:hAnsi="方正仿宋_GB2312" w:eastAsia="方正仿宋_GB2312" w:cs="方正仿宋_GB2312"/>
          <w:sz w:val="21"/>
          <w:szCs w:val="21"/>
          <w:lang w:val="en-US" w:eastAsia="zh-CN"/>
        </w:rPr>
      </w:pPr>
    </w:p>
    <w:p w14:paraId="528D6438">
      <w:pPr>
        <w:keepNext w:val="0"/>
        <w:keepLines w:val="0"/>
        <w:pageBreakBefore w:val="0"/>
        <w:widowControl w:val="0"/>
        <w:kinsoku/>
        <w:wordWrap/>
        <w:overflowPunct/>
        <w:topLinePunct w:val="0"/>
        <w:autoSpaceDE/>
        <w:autoSpaceDN/>
        <w:bidi w:val="0"/>
        <w:adjustRightInd/>
        <w:snapToGrid/>
        <w:spacing w:line="360" w:lineRule="auto"/>
        <w:ind w:firstLine="0" w:firstLineChars="0"/>
        <w:jc w:val="both"/>
        <w:textAlignment w:val="auto"/>
        <w:rPr>
          <w:rFonts w:hint="eastAsia" w:ascii="宋体" w:hAnsi="宋体" w:eastAsia="宋体" w:cs="宋体"/>
          <w:b/>
          <w:bCs/>
          <w:i w:val="0"/>
          <w:iCs w:val="0"/>
          <w:sz w:val="18"/>
          <w:szCs w:val="18"/>
          <w:lang w:val="en-US" w:eastAsia="zh-CN"/>
        </w:rPr>
      </w:pPr>
      <w:r>
        <w:rPr>
          <w:rFonts w:hint="eastAsia" w:ascii="宋体" w:hAnsi="宋体" w:eastAsia="宋体" w:cs="宋体"/>
          <w:b/>
          <w:bCs/>
          <w:i w:val="0"/>
          <w:iCs w:val="0"/>
          <w:sz w:val="18"/>
          <w:szCs w:val="18"/>
          <w:lang w:val="en-US" w:eastAsia="zh-CN"/>
        </w:rPr>
        <w:t>Table</w:t>
      </w:r>
      <w:r>
        <w:rPr>
          <w:rFonts w:hint="default" w:ascii="宋体" w:hAnsi="宋体" w:eastAsia="宋体" w:cs="宋体"/>
          <w:b/>
          <w:bCs/>
          <w:i w:val="0"/>
          <w:iCs w:val="0"/>
          <w:sz w:val="18"/>
          <w:szCs w:val="18"/>
          <w:lang w:val="en-US" w:eastAsia="zh-CN"/>
        </w:rPr>
        <w:t xml:space="preserve"> 3</w:t>
      </w:r>
      <w:r>
        <w:rPr>
          <w:rFonts w:hint="eastAsia" w:ascii="宋体" w:hAnsi="宋体" w:eastAsia="宋体" w:cs="宋体"/>
          <w:b/>
          <w:bCs/>
          <w:i w:val="0"/>
          <w:iCs w:val="0"/>
          <w:sz w:val="18"/>
          <w:szCs w:val="18"/>
          <w:lang w:val="en-US" w:eastAsia="zh-CN"/>
        </w:rPr>
        <w:t xml:space="preserve"> </w:t>
      </w:r>
    </w:p>
    <w:p w14:paraId="48E8EF6D">
      <w:pPr>
        <w:keepNext w:val="0"/>
        <w:keepLines w:val="0"/>
        <w:pageBreakBefore w:val="0"/>
        <w:widowControl w:val="0"/>
        <w:kinsoku/>
        <w:wordWrap/>
        <w:overflowPunct/>
        <w:topLinePunct w:val="0"/>
        <w:autoSpaceDE/>
        <w:autoSpaceDN/>
        <w:bidi w:val="0"/>
        <w:adjustRightInd/>
        <w:snapToGrid/>
        <w:spacing w:line="360" w:lineRule="auto"/>
        <w:ind w:firstLine="0" w:firstLineChars="0"/>
        <w:jc w:val="both"/>
        <w:textAlignment w:val="auto"/>
        <w:rPr>
          <w:rFonts w:hint="eastAsia" w:ascii="宋体" w:hAnsi="宋体" w:eastAsia="宋体" w:cs="宋体"/>
          <w:i/>
          <w:iCs/>
          <w:sz w:val="18"/>
          <w:szCs w:val="18"/>
          <w:lang w:val="en-US" w:eastAsia="zh-CN"/>
        </w:rPr>
      </w:pPr>
      <w:r>
        <w:rPr>
          <w:rFonts w:hint="eastAsia" w:ascii="宋体" w:hAnsi="宋体" w:eastAsia="宋体" w:cs="宋体"/>
          <w:i/>
          <w:iCs/>
          <w:sz w:val="18"/>
          <w:szCs w:val="18"/>
          <w:lang w:val="en-US" w:eastAsia="zh-CN"/>
        </w:rPr>
        <w:t>Conditional effects of the focal predictor at values of the moderator</w:t>
      </w:r>
    </w:p>
    <w:p w14:paraId="08B2E4D9">
      <w:pPr>
        <w:keepNext w:val="0"/>
        <w:keepLines w:val="0"/>
        <w:pageBreakBefore w:val="0"/>
        <w:widowControl w:val="0"/>
        <w:kinsoku/>
        <w:wordWrap/>
        <w:overflowPunct/>
        <w:topLinePunct w:val="0"/>
        <w:autoSpaceDE/>
        <w:autoSpaceDN/>
        <w:bidi w:val="0"/>
        <w:adjustRightInd/>
        <w:snapToGrid/>
        <w:spacing w:line="360" w:lineRule="auto"/>
        <w:ind w:firstLine="0" w:firstLineChars="0"/>
        <w:jc w:val="right"/>
        <w:textAlignment w:val="auto"/>
        <w:rPr>
          <w:rFonts w:hint="default" w:ascii="宋体" w:hAnsi="宋体" w:eastAsia="宋体" w:cs="宋体"/>
          <w:i/>
          <w:iCs/>
          <w:sz w:val="18"/>
          <w:szCs w:val="18"/>
          <w:lang w:val="en-US" w:eastAsia="zh-CN"/>
        </w:rPr>
      </w:pPr>
      <w:r>
        <w:rPr>
          <w:rFonts w:hint="default" w:ascii="宋体" w:hAnsi="宋体" w:eastAsia="宋体" w:cs="宋体"/>
          <w:i/>
          <w:iCs/>
          <w:sz w:val="18"/>
          <w:szCs w:val="18"/>
          <w:lang w:val="en-US" w:eastAsia="zh-CN"/>
        </w:rPr>
        <w:t>V</w:t>
      </w:r>
      <w:r>
        <w:rPr>
          <w:rFonts w:hint="eastAsia" w:ascii="宋体" w:hAnsi="宋体" w:eastAsia="宋体" w:cs="宋体"/>
          <w:i/>
          <w:iCs/>
          <w:sz w:val="18"/>
          <w:szCs w:val="18"/>
          <w:lang w:val="en-US" w:eastAsia="zh-CN"/>
        </w:rPr>
        <w:t xml:space="preserve">alues of the </w:t>
      </w:r>
      <w:r>
        <w:rPr>
          <w:rFonts w:hint="default" w:ascii="宋体" w:hAnsi="宋体" w:eastAsia="宋体" w:cs="宋体"/>
          <w:i/>
          <w:iCs/>
          <w:sz w:val="18"/>
          <w:szCs w:val="18"/>
          <w:lang w:val="en-US" w:eastAsia="zh-CN"/>
        </w:rPr>
        <w:t>M</w:t>
      </w:r>
      <w:r>
        <w:rPr>
          <w:rFonts w:hint="eastAsia" w:ascii="宋体" w:hAnsi="宋体" w:eastAsia="宋体" w:cs="宋体"/>
          <w:i/>
          <w:iCs/>
          <w:sz w:val="18"/>
          <w:szCs w:val="18"/>
          <w:lang w:val="en-US" w:eastAsia="zh-CN"/>
        </w:rPr>
        <w:t>oderator</w:t>
      </w:r>
      <w:r>
        <w:rPr>
          <w:rFonts w:hint="default" w:ascii="宋体" w:hAnsi="宋体" w:eastAsia="宋体" w:cs="宋体"/>
          <w:i/>
          <w:iCs/>
          <w:sz w:val="18"/>
          <w:szCs w:val="18"/>
          <w:lang w:val="en-US" w:eastAsia="zh-CN"/>
        </w:rPr>
        <w:t>:M-SD , M , M+SD</w:t>
      </w:r>
    </w:p>
    <w:tbl>
      <w:tblPr>
        <w:tblStyle w:val="2"/>
        <w:tblW w:w="4998"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1064"/>
        <w:gridCol w:w="1065"/>
        <w:gridCol w:w="1065"/>
        <w:gridCol w:w="1065"/>
        <w:gridCol w:w="1065"/>
        <w:gridCol w:w="1065"/>
        <w:gridCol w:w="1065"/>
        <w:gridCol w:w="1065"/>
      </w:tblGrid>
      <w:tr w14:paraId="185A0EE5">
        <w:trPr>
          <w:trHeight w:val="352" w:hRule="atLeast"/>
        </w:trPr>
        <w:tc>
          <w:tcPr>
            <w:tcW w:w="625" w:type="pct"/>
            <w:tcBorders>
              <w:top w:val="single" w:color="000000" w:sz="12" w:space="0"/>
              <w:left w:val="nil"/>
              <w:bottom w:val="single" w:color="000000" w:sz="4" w:space="0"/>
              <w:right w:val="nil"/>
              <w:tl2br w:val="nil"/>
            </w:tcBorders>
            <w:shd w:val="clear" w:color="auto" w:fill="FFFFFF"/>
            <w:noWrap/>
            <w:vAlign w:val="center"/>
          </w:tcPr>
          <w:p w14:paraId="7D1DF677">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Pre_MC</w:t>
            </w:r>
          </w:p>
        </w:tc>
        <w:tc>
          <w:tcPr>
            <w:tcW w:w="625" w:type="pct"/>
            <w:tcBorders>
              <w:top w:val="single" w:color="000000" w:sz="12" w:space="0"/>
              <w:left w:val="nil"/>
              <w:bottom w:val="single" w:color="000000" w:sz="4" w:space="0"/>
              <w:right w:val="nil"/>
            </w:tcBorders>
            <w:shd w:val="clear" w:color="auto" w:fill="FFFFFF"/>
            <w:noWrap/>
            <w:vAlign w:val="center"/>
          </w:tcPr>
          <w:p w14:paraId="40B103B6">
            <w:pPr>
              <w:keepNext w:val="0"/>
              <w:keepLines w:val="0"/>
              <w:widowControl/>
              <w:suppressLineNumbers w:val="0"/>
              <w:jc w:val="center"/>
              <w:textAlignment w:val="center"/>
              <w:rPr>
                <w:rFonts w:hint="default" w:ascii="宋体" w:hAnsi="宋体" w:eastAsia="宋体" w:cs="宋体"/>
                <w:b w:val="0"/>
                <w:i w:val="0"/>
                <w:iCs w:val="0"/>
                <w:color w:val="000000"/>
                <w:kern w:val="0"/>
                <w:sz w:val="18"/>
                <w:szCs w:val="18"/>
                <w:u w:val="none"/>
                <w:lang w:val="en-US" w:eastAsia="zh-CN" w:bidi="ar"/>
              </w:rPr>
            </w:pPr>
            <w:r>
              <w:rPr>
                <w:rFonts w:hint="default" w:ascii="宋体" w:hAnsi="宋体" w:eastAsia="宋体" w:cs="宋体"/>
                <w:b w:val="0"/>
                <w:i w:val="0"/>
                <w:iCs w:val="0"/>
                <w:color w:val="000000"/>
                <w:kern w:val="0"/>
                <w:sz w:val="18"/>
                <w:szCs w:val="18"/>
                <w:u w:val="none"/>
                <w:lang w:val="en-US" w:eastAsia="zh-CN" w:bidi="ar"/>
              </w:rPr>
              <w:t>Pre_Raw</w:t>
            </w:r>
          </w:p>
        </w:tc>
        <w:tc>
          <w:tcPr>
            <w:tcW w:w="625" w:type="pct"/>
            <w:tcBorders>
              <w:top w:val="single" w:color="000000" w:sz="12" w:space="0"/>
              <w:left w:val="nil"/>
              <w:bottom w:val="single" w:color="000000" w:sz="4" w:space="0"/>
              <w:right w:val="nil"/>
            </w:tcBorders>
            <w:shd w:val="clear" w:color="auto" w:fill="FFFFFF"/>
            <w:noWrap/>
            <w:vAlign w:val="center"/>
          </w:tcPr>
          <w:p w14:paraId="5B46713C">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Effect</w:t>
            </w:r>
          </w:p>
        </w:tc>
        <w:tc>
          <w:tcPr>
            <w:tcW w:w="625" w:type="pct"/>
            <w:tcBorders>
              <w:top w:val="single" w:color="000000" w:sz="12" w:space="0"/>
              <w:left w:val="nil"/>
              <w:bottom w:val="single" w:color="000000" w:sz="4" w:space="0"/>
              <w:right w:val="nil"/>
            </w:tcBorders>
            <w:shd w:val="clear" w:color="auto" w:fill="FFFFFF"/>
            <w:noWrap/>
            <w:vAlign w:val="center"/>
          </w:tcPr>
          <w:p w14:paraId="5D45E8EF">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se</w:t>
            </w:r>
          </w:p>
        </w:tc>
        <w:tc>
          <w:tcPr>
            <w:tcW w:w="625" w:type="pct"/>
            <w:tcBorders>
              <w:top w:val="single" w:color="000000" w:sz="12" w:space="0"/>
              <w:left w:val="nil"/>
              <w:bottom w:val="single" w:color="000000" w:sz="4" w:space="0"/>
              <w:right w:val="nil"/>
            </w:tcBorders>
            <w:shd w:val="clear" w:color="auto" w:fill="FFFFFF"/>
            <w:noWrap/>
            <w:vAlign w:val="center"/>
          </w:tcPr>
          <w:p w14:paraId="315E5F05">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t</w:t>
            </w:r>
          </w:p>
        </w:tc>
        <w:tc>
          <w:tcPr>
            <w:tcW w:w="625" w:type="pct"/>
            <w:tcBorders>
              <w:top w:val="single" w:color="000000" w:sz="12" w:space="0"/>
              <w:left w:val="nil"/>
              <w:bottom w:val="single" w:color="000000" w:sz="4" w:space="0"/>
              <w:right w:val="nil"/>
            </w:tcBorders>
            <w:shd w:val="clear" w:color="auto" w:fill="FFFFFF"/>
            <w:noWrap/>
            <w:vAlign w:val="center"/>
          </w:tcPr>
          <w:p w14:paraId="1C47577D">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p</w:t>
            </w:r>
          </w:p>
        </w:tc>
        <w:tc>
          <w:tcPr>
            <w:tcW w:w="625" w:type="pct"/>
            <w:tcBorders>
              <w:top w:val="single" w:color="000000" w:sz="12" w:space="0"/>
              <w:left w:val="nil"/>
              <w:bottom w:val="single" w:color="000000" w:sz="4" w:space="0"/>
              <w:right w:val="nil"/>
            </w:tcBorders>
            <w:shd w:val="clear" w:color="auto" w:fill="FFFFFF"/>
            <w:noWrap/>
            <w:vAlign w:val="center"/>
          </w:tcPr>
          <w:p w14:paraId="59DA2D62">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LLCI</w:t>
            </w:r>
          </w:p>
        </w:tc>
        <w:tc>
          <w:tcPr>
            <w:tcW w:w="625" w:type="pct"/>
            <w:tcBorders>
              <w:top w:val="single" w:color="000000" w:sz="12" w:space="0"/>
              <w:left w:val="nil"/>
              <w:bottom w:val="single" w:color="000000" w:sz="4" w:space="0"/>
              <w:right w:val="nil"/>
            </w:tcBorders>
            <w:shd w:val="clear" w:color="auto" w:fill="FFFFFF"/>
            <w:noWrap/>
            <w:vAlign w:val="center"/>
          </w:tcPr>
          <w:p w14:paraId="1B63B6EF">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ULCI</w:t>
            </w:r>
          </w:p>
        </w:tc>
      </w:tr>
      <w:tr w14:paraId="25657CC5">
        <w:trPr>
          <w:trHeight w:val="352" w:hRule="atLeast"/>
        </w:trPr>
        <w:tc>
          <w:tcPr>
            <w:tcW w:w="625" w:type="pct"/>
            <w:tcBorders>
              <w:top w:val="single" w:color="000000" w:sz="4" w:space="0"/>
              <w:left w:val="nil"/>
              <w:bottom w:val="nil"/>
              <w:right w:val="nil"/>
            </w:tcBorders>
            <w:shd w:val="clear" w:color="auto" w:fill="FFFFFF"/>
            <w:noWrap/>
            <w:vAlign w:val="center"/>
          </w:tcPr>
          <w:p w14:paraId="32A1F5E4">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-1.739</w:t>
            </w:r>
          </w:p>
        </w:tc>
        <w:tc>
          <w:tcPr>
            <w:tcW w:w="625" w:type="pct"/>
            <w:tcBorders>
              <w:top w:val="single" w:color="000000" w:sz="4" w:space="0"/>
              <w:left w:val="nil"/>
              <w:bottom w:val="nil"/>
              <w:right w:val="nil"/>
            </w:tcBorders>
            <w:shd w:val="clear" w:color="auto" w:fill="FFFFFF"/>
            <w:noWrap/>
            <w:vAlign w:val="center"/>
          </w:tcPr>
          <w:p w14:paraId="5BE4A72E">
            <w:pPr>
              <w:keepNext w:val="0"/>
              <w:keepLines w:val="0"/>
              <w:widowControl/>
              <w:suppressLineNumbers w:val="0"/>
              <w:jc w:val="center"/>
              <w:textAlignment w:val="center"/>
              <w:rPr>
                <w:rFonts w:hint="default" w:ascii="宋体" w:hAnsi="宋体" w:eastAsia="宋体" w:cs="宋体"/>
                <w:b w:val="0"/>
                <w:i w:val="0"/>
                <w:iCs w:val="0"/>
                <w:color w:val="000000"/>
                <w:kern w:val="0"/>
                <w:sz w:val="18"/>
                <w:szCs w:val="18"/>
                <w:u w:val="none"/>
                <w:lang w:val="en-US" w:eastAsia="zh-CN" w:bidi="ar"/>
              </w:rPr>
            </w:pPr>
            <w:r>
              <w:rPr>
                <w:rFonts w:hint="default" w:ascii="宋体" w:hAnsi="宋体" w:eastAsia="宋体" w:cs="宋体"/>
                <w:b w:val="0"/>
                <w:i w:val="0"/>
                <w:iCs w:val="0"/>
                <w:color w:val="000000"/>
                <w:kern w:val="0"/>
                <w:sz w:val="18"/>
                <w:szCs w:val="18"/>
                <w:u w:val="none"/>
                <w:lang w:val="en-US" w:eastAsia="zh-CN" w:bidi="ar"/>
              </w:rPr>
              <w:t>4.571</w:t>
            </w:r>
          </w:p>
        </w:tc>
        <w:tc>
          <w:tcPr>
            <w:tcW w:w="625" w:type="pct"/>
            <w:tcBorders>
              <w:top w:val="single" w:color="000000" w:sz="4" w:space="0"/>
              <w:left w:val="nil"/>
              <w:bottom w:val="nil"/>
              <w:right w:val="nil"/>
            </w:tcBorders>
            <w:shd w:val="clear" w:color="auto" w:fill="FFFFFF"/>
            <w:noWrap/>
            <w:vAlign w:val="center"/>
          </w:tcPr>
          <w:p w14:paraId="5452D521">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2.306</w:t>
            </w:r>
          </w:p>
        </w:tc>
        <w:tc>
          <w:tcPr>
            <w:tcW w:w="625" w:type="pct"/>
            <w:tcBorders>
              <w:top w:val="single" w:color="000000" w:sz="4" w:space="0"/>
              <w:left w:val="nil"/>
              <w:bottom w:val="nil"/>
              <w:right w:val="nil"/>
            </w:tcBorders>
            <w:shd w:val="clear" w:color="auto" w:fill="FFFFFF"/>
            <w:noWrap/>
            <w:vAlign w:val="center"/>
          </w:tcPr>
          <w:p w14:paraId="5D31709F">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0.026</w:t>
            </w:r>
          </w:p>
        </w:tc>
        <w:tc>
          <w:tcPr>
            <w:tcW w:w="625" w:type="pct"/>
            <w:tcBorders>
              <w:top w:val="single" w:color="000000" w:sz="4" w:space="0"/>
              <w:left w:val="nil"/>
              <w:bottom w:val="nil"/>
              <w:right w:val="nil"/>
            </w:tcBorders>
            <w:shd w:val="clear" w:color="auto" w:fill="FFFFFF"/>
            <w:noWrap/>
            <w:vAlign w:val="center"/>
          </w:tcPr>
          <w:p w14:paraId="51AA0B2E">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90.045</w:t>
            </w:r>
          </w:p>
        </w:tc>
        <w:tc>
          <w:tcPr>
            <w:tcW w:w="625" w:type="pct"/>
            <w:tcBorders>
              <w:top w:val="single" w:color="000000" w:sz="4" w:space="0"/>
              <w:left w:val="nil"/>
              <w:bottom w:val="nil"/>
              <w:right w:val="nil"/>
            </w:tcBorders>
            <w:shd w:val="clear" w:color="auto" w:fill="FFFFFF"/>
            <w:noWrap/>
            <w:vAlign w:val="center"/>
          </w:tcPr>
          <w:p w14:paraId="601791FA">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default" w:ascii="宋体" w:hAnsi="宋体" w:eastAsia="宋体" w:cs="宋体"/>
                <w:b w:val="0"/>
                <w:i w:val="0"/>
                <w:iCs w:val="0"/>
                <w:color w:val="000000"/>
                <w:sz w:val="18"/>
                <w:szCs w:val="18"/>
                <w:u w:val="none"/>
                <w:lang w:val="en-US"/>
              </w:rPr>
              <w:t>&lt; .001</w:t>
            </w:r>
          </w:p>
        </w:tc>
        <w:tc>
          <w:tcPr>
            <w:tcW w:w="625" w:type="pct"/>
            <w:tcBorders>
              <w:top w:val="single" w:color="000000" w:sz="4" w:space="0"/>
              <w:left w:val="nil"/>
              <w:bottom w:val="nil"/>
              <w:right w:val="nil"/>
            </w:tcBorders>
            <w:shd w:val="clear" w:color="auto" w:fill="FFFFFF"/>
            <w:noWrap/>
            <w:vAlign w:val="center"/>
          </w:tcPr>
          <w:p w14:paraId="44802010">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2.254</w:t>
            </w:r>
          </w:p>
        </w:tc>
        <w:tc>
          <w:tcPr>
            <w:tcW w:w="625" w:type="pct"/>
            <w:tcBorders>
              <w:top w:val="single" w:color="000000" w:sz="4" w:space="0"/>
              <w:left w:val="nil"/>
              <w:bottom w:val="nil"/>
              <w:right w:val="nil"/>
            </w:tcBorders>
            <w:shd w:val="clear" w:color="auto" w:fill="FFFFFF"/>
            <w:noWrap/>
            <w:vAlign w:val="center"/>
          </w:tcPr>
          <w:p w14:paraId="4A073C9A">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2.357</w:t>
            </w:r>
          </w:p>
        </w:tc>
      </w:tr>
      <w:tr w14:paraId="5C6004EA">
        <w:trPr>
          <w:trHeight w:val="352" w:hRule="atLeast"/>
        </w:trPr>
        <w:tc>
          <w:tcPr>
            <w:tcW w:w="625" w:type="pct"/>
            <w:tcBorders>
              <w:top w:val="nil"/>
              <w:left w:val="nil"/>
              <w:bottom w:val="nil"/>
              <w:right w:val="nil"/>
            </w:tcBorders>
            <w:shd w:val="clear" w:color="auto" w:fill="FFFFFF"/>
            <w:noWrap/>
            <w:vAlign w:val="center"/>
          </w:tcPr>
          <w:p w14:paraId="3995D5C0">
            <w:pPr>
              <w:keepNext w:val="0"/>
              <w:keepLines w:val="0"/>
              <w:widowControl/>
              <w:suppressLineNumbers w:val="0"/>
              <w:jc w:val="center"/>
              <w:textAlignment w:val="center"/>
              <w:rPr>
                <w:rFonts w:hint="default" w:ascii="宋体" w:hAnsi="宋体" w:eastAsia="宋体" w:cs="宋体"/>
                <w:b w:val="0"/>
                <w:i w:val="0"/>
                <w:iCs w:val="0"/>
                <w:color w:val="000000"/>
                <w:sz w:val="18"/>
                <w:szCs w:val="18"/>
                <w:u w:val="none"/>
                <w:lang w:val="en-US"/>
              </w:rPr>
            </w:pPr>
            <w:r>
              <w:rPr>
                <w:rFonts w:hint="eastAsia" w:ascii="宋体" w:hAnsi="宋体" w:eastAsia="宋体" w:cs="宋体"/>
                <w:b w:val="0"/>
                <w:i w:val="0"/>
                <w:iCs w:val="0"/>
                <w:color w:val="000000"/>
                <w:kern w:val="0"/>
                <w:sz w:val="18"/>
                <w:szCs w:val="18"/>
                <w:u w:val="none"/>
                <w:lang w:val="en-US" w:eastAsia="zh-CN" w:bidi="ar"/>
              </w:rPr>
              <w:t>0</w:t>
            </w:r>
            <w:r>
              <w:rPr>
                <w:rFonts w:hint="default" w:ascii="宋体" w:hAnsi="宋体" w:eastAsia="宋体" w:cs="宋体"/>
                <w:b w:val="0"/>
                <w:i w:val="0"/>
                <w:iCs w:val="0"/>
                <w:color w:val="000000"/>
                <w:kern w:val="0"/>
                <w:sz w:val="18"/>
                <w:szCs w:val="18"/>
                <w:u w:val="none"/>
                <w:lang w:val="en-US" w:eastAsia="zh-CN" w:bidi="ar"/>
              </w:rPr>
              <w:t>.000</w:t>
            </w:r>
          </w:p>
        </w:tc>
        <w:tc>
          <w:tcPr>
            <w:tcW w:w="625" w:type="pct"/>
            <w:tcBorders>
              <w:top w:val="nil"/>
              <w:left w:val="nil"/>
              <w:bottom w:val="nil"/>
              <w:right w:val="nil"/>
            </w:tcBorders>
            <w:shd w:val="clear" w:color="auto" w:fill="FFFFFF"/>
            <w:noWrap/>
            <w:vAlign w:val="center"/>
          </w:tcPr>
          <w:p w14:paraId="5C72779B">
            <w:pPr>
              <w:keepNext w:val="0"/>
              <w:keepLines w:val="0"/>
              <w:widowControl/>
              <w:suppressLineNumbers w:val="0"/>
              <w:jc w:val="center"/>
              <w:textAlignment w:val="center"/>
              <w:rPr>
                <w:rFonts w:hint="default" w:ascii="宋体" w:hAnsi="宋体" w:eastAsia="宋体" w:cs="宋体"/>
                <w:b w:val="0"/>
                <w:i w:val="0"/>
                <w:iCs w:val="0"/>
                <w:color w:val="000000"/>
                <w:kern w:val="0"/>
                <w:sz w:val="18"/>
                <w:szCs w:val="18"/>
                <w:u w:val="none"/>
                <w:lang w:val="en-US" w:eastAsia="zh-CN" w:bidi="ar"/>
              </w:rPr>
            </w:pPr>
            <w:r>
              <w:rPr>
                <w:rFonts w:hint="default" w:ascii="宋体" w:hAnsi="宋体" w:eastAsia="宋体" w:cs="宋体"/>
                <w:b w:val="0"/>
                <w:i w:val="0"/>
                <w:iCs w:val="0"/>
                <w:color w:val="000000"/>
                <w:kern w:val="0"/>
                <w:sz w:val="18"/>
                <w:szCs w:val="18"/>
                <w:u w:val="none"/>
                <w:lang w:val="en-US" w:eastAsia="zh-CN" w:bidi="ar"/>
              </w:rPr>
              <w:t>6.310</w:t>
            </w:r>
          </w:p>
        </w:tc>
        <w:tc>
          <w:tcPr>
            <w:tcW w:w="625" w:type="pct"/>
            <w:tcBorders>
              <w:top w:val="nil"/>
              <w:left w:val="nil"/>
              <w:bottom w:val="nil"/>
              <w:right w:val="nil"/>
            </w:tcBorders>
            <w:shd w:val="clear" w:color="auto" w:fill="FFFFFF"/>
            <w:noWrap/>
            <w:vAlign w:val="center"/>
          </w:tcPr>
          <w:p w14:paraId="151B70FF">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1.233</w:t>
            </w:r>
          </w:p>
        </w:tc>
        <w:tc>
          <w:tcPr>
            <w:tcW w:w="625" w:type="pct"/>
            <w:tcBorders>
              <w:top w:val="nil"/>
              <w:left w:val="nil"/>
              <w:bottom w:val="nil"/>
              <w:right w:val="nil"/>
            </w:tcBorders>
            <w:shd w:val="clear" w:color="auto" w:fill="FFFFFF"/>
            <w:noWrap/>
            <w:vAlign w:val="center"/>
          </w:tcPr>
          <w:p w14:paraId="037C4155">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0.018</w:t>
            </w:r>
          </w:p>
        </w:tc>
        <w:tc>
          <w:tcPr>
            <w:tcW w:w="625" w:type="pct"/>
            <w:tcBorders>
              <w:top w:val="nil"/>
              <w:left w:val="nil"/>
              <w:bottom w:val="nil"/>
              <w:right w:val="nil"/>
            </w:tcBorders>
            <w:shd w:val="clear" w:color="auto" w:fill="FFFFFF"/>
            <w:noWrap/>
            <w:vAlign w:val="center"/>
          </w:tcPr>
          <w:p w14:paraId="18D8C69C">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68.374</w:t>
            </w:r>
          </w:p>
        </w:tc>
        <w:tc>
          <w:tcPr>
            <w:tcW w:w="625" w:type="pct"/>
            <w:tcBorders>
              <w:top w:val="nil"/>
              <w:left w:val="nil"/>
              <w:bottom w:val="nil"/>
              <w:right w:val="nil"/>
            </w:tcBorders>
            <w:shd w:val="clear" w:color="auto" w:fill="FFFFFF"/>
            <w:noWrap/>
            <w:vAlign w:val="center"/>
          </w:tcPr>
          <w:p w14:paraId="028BA04B">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default" w:ascii="宋体" w:hAnsi="宋体" w:eastAsia="宋体" w:cs="宋体"/>
                <w:b w:val="0"/>
                <w:i w:val="0"/>
                <w:iCs w:val="0"/>
                <w:color w:val="000000"/>
                <w:sz w:val="18"/>
                <w:szCs w:val="18"/>
                <w:u w:val="none"/>
                <w:lang w:val="en-US"/>
              </w:rPr>
              <w:t>&lt; .001</w:t>
            </w:r>
          </w:p>
        </w:tc>
        <w:tc>
          <w:tcPr>
            <w:tcW w:w="625" w:type="pct"/>
            <w:tcBorders>
              <w:top w:val="nil"/>
              <w:left w:val="nil"/>
              <w:bottom w:val="nil"/>
              <w:right w:val="nil"/>
            </w:tcBorders>
            <w:shd w:val="clear" w:color="auto" w:fill="FFFFFF"/>
            <w:noWrap/>
            <w:vAlign w:val="center"/>
          </w:tcPr>
          <w:p w14:paraId="61BC952E">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1.197</w:t>
            </w:r>
          </w:p>
        </w:tc>
        <w:tc>
          <w:tcPr>
            <w:tcW w:w="625" w:type="pct"/>
            <w:tcBorders>
              <w:top w:val="nil"/>
              <w:left w:val="nil"/>
              <w:bottom w:val="nil"/>
              <w:right w:val="nil"/>
            </w:tcBorders>
            <w:shd w:val="clear" w:color="auto" w:fill="FFFFFF"/>
            <w:noWrap/>
            <w:vAlign w:val="center"/>
          </w:tcPr>
          <w:p w14:paraId="3C62A75C">
            <w:pPr>
              <w:keepNext w:val="0"/>
              <w:keepLines w:val="0"/>
              <w:widowControl/>
              <w:suppressLineNumbers w:val="0"/>
              <w:jc w:val="center"/>
              <w:textAlignment w:val="center"/>
              <w:rPr>
                <w:rFonts w:hint="default" w:ascii="宋体" w:hAnsi="宋体" w:eastAsia="宋体" w:cs="宋体"/>
                <w:b w:val="0"/>
                <w:i w:val="0"/>
                <w:iCs w:val="0"/>
                <w:color w:val="000000"/>
                <w:sz w:val="18"/>
                <w:szCs w:val="18"/>
                <w:u w:val="none"/>
                <w:lang w:val="en-US"/>
              </w:rPr>
            </w:pPr>
            <w:r>
              <w:rPr>
                <w:rFonts w:hint="eastAsia" w:ascii="宋体" w:hAnsi="宋体" w:eastAsia="宋体" w:cs="宋体"/>
                <w:b w:val="0"/>
                <w:i w:val="0"/>
                <w:iCs w:val="0"/>
                <w:color w:val="000000"/>
                <w:kern w:val="0"/>
                <w:sz w:val="18"/>
                <w:szCs w:val="18"/>
                <w:u w:val="none"/>
                <w:lang w:val="en-US" w:eastAsia="zh-CN" w:bidi="ar"/>
              </w:rPr>
              <w:t>1.27</w:t>
            </w:r>
            <w:r>
              <w:rPr>
                <w:rFonts w:hint="default" w:ascii="宋体" w:hAnsi="宋体" w:eastAsia="宋体" w:cs="宋体"/>
                <w:b w:val="0"/>
                <w:i w:val="0"/>
                <w:iCs w:val="0"/>
                <w:color w:val="000000"/>
                <w:kern w:val="0"/>
                <w:sz w:val="18"/>
                <w:szCs w:val="18"/>
                <w:u w:val="none"/>
                <w:lang w:val="en-US" w:eastAsia="zh-CN" w:bidi="ar"/>
              </w:rPr>
              <w:t>0</w:t>
            </w:r>
          </w:p>
        </w:tc>
      </w:tr>
      <w:tr w14:paraId="2E858B5C">
        <w:trPr>
          <w:trHeight w:val="352" w:hRule="atLeast"/>
        </w:trPr>
        <w:tc>
          <w:tcPr>
            <w:tcW w:w="625" w:type="pct"/>
            <w:tcBorders>
              <w:top w:val="nil"/>
              <w:left w:val="nil"/>
              <w:bottom w:val="single" w:color="000000" w:sz="12" w:space="0"/>
              <w:right w:val="nil"/>
            </w:tcBorders>
            <w:shd w:val="clear" w:color="auto" w:fill="FFFFFF"/>
            <w:noWrap/>
            <w:vAlign w:val="center"/>
          </w:tcPr>
          <w:p w14:paraId="18E7CEB5">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1.739</w:t>
            </w:r>
          </w:p>
        </w:tc>
        <w:tc>
          <w:tcPr>
            <w:tcW w:w="625" w:type="pct"/>
            <w:tcBorders>
              <w:top w:val="nil"/>
              <w:left w:val="nil"/>
              <w:bottom w:val="single" w:color="000000" w:sz="12" w:space="0"/>
              <w:right w:val="nil"/>
            </w:tcBorders>
            <w:shd w:val="clear" w:color="auto" w:fill="FFFFFF"/>
            <w:noWrap/>
            <w:vAlign w:val="center"/>
          </w:tcPr>
          <w:p w14:paraId="7888A385">
            <w:pPr>
              <w:keepNext w:val="0"/>
              <w:keepLines w:val="0"/>
              <w:widowControl/>
              <w:suppressLineNumbers w:val="0"/>
              <w:jc w:val="center"/>
              <w:textAlignment w:val="center"/>
              <w:rPr>
                <w:rFonts w:hint="default" w:ascii="宋体" w:hAnsi="宋体" w:eastAsia="宋体" w:cs="宋体"/>
                <w:b w:val="0"/>
                <w:i w:val="0"/>
                <w:iCs w:val="0"/>
                <w:color w:val="000000"/>
                <w:kern w:val="0"/>
                <w:sz w:val="18"/>
                <w:szCs w:val="18"/>
                <w:u w:val="none"/>
                <w:lang w:val="en-US" w:eastAsia="zh-CN" w:bidi="ar"/>
              </w:rPr>
            </w:pPr>
            <w:r>
              <w:rPr>
                <w:rFonts w:hint="default" w:ascii="宋体" w:hAnsi="宋体" w:eastAsia="宋体" w:cs="宋体"/>
                <w:b w:val="0"/>
                <w:i w:val="0"/>
                <w:iCs w:val="0"/>
                <w:color w:val="000000"/>
                <w:kern w:val="0"/>
                <w:sz w:val="18"/>
                <w:szCs w:val="18"/>
                <w:u w:val="none"/>
                <w:lang w:val="en-US" w:eastAsia="zh-CN" w:bidi="ar"/>
              </w:rPr>
              <w:t>8.049</w:t>
            </w:r>
          </w:p>
        </w:tc>
        <w:tc>
          <w:tcPr>
            <w:tcW w:w="625" w:type="pct"/>
            <w:tcBorders>
              <w:top w:val="nil"/>
              <w:left w:val="nil"/>
              <w:bottom w:val="single" w:color="000000" w:sz="12" w:space="0"/>
              <w:right w:val="nil"/>
            </w:tcBorders>
            <w:shd w:val="clear" w:color="auto" w:fill="FFFFFF"/>
            <w:noWrap/>
            <w:vAlign w:val="center"/>
          </w:tcPr>
          <w:p w14:paraId="652B0D68">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0.161</w:t>
            </w:r>
          </w:p>
        </w:tc>
        <w:tc>
          <w:tcPr>
            <w:tcW w:w="625" w:type="pct"/>
            <w:tcBorders>
              <w:top w:val="nil"/>
              <w:left w:val="nil"/>
              <w:bottom w:val="single" w:color="000000" w:sz="12" w:space="0"/>
              <w:right w:val="nil"/>
            </w:tcBorders>
            <w:shd w:val="clear" w:color="auto" w:fill="FFFFFF"/>
            <w:noWrap/>
            <w:vAlign w:val="center"/>
          </w:tcPr>
          <w:p w14:paraId="4C4302A4">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0.026</w:t>
            </w:r>
          </w:p>
        </w:tc>
        <w:tc>
          <w:tcPr>
            <w:tcW w:w="625" w:type="pct"/>
            <w:tcBorders>
              <w:top w:val="nil"/>
              <w:left w:val="nil"/>
              <w:bottom w:val="single" w:color="000000" w:sz="12" w:space="0"/>
              <w:right w:val="nil"/>
            </w:tcBorders>
            <w:shd w:val="clear" w:color="auto" w:fill="FFFFFF"/>
            <w:noWrap/>
            <w:vAlign w:val="center"/>
          </w:tcPr>
          <w:p w14:paraId="6C5F6DC8">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6.285</w:t>
            </w:r>
          </w:p>
        </w:tc>
        <w:tc>
          <w:tcPr>
            <w:tcW w:w="625" w:type="pct"/>
            <w:tcBorders>
              <w:top w:val="nil"/>
              <w:left w:val="nil"/>
              <w:bottom w:val="single" w:color="000000" w:sz="12" w:space="0"/>
              <w:right w:val="nil"/>
            </w:tcBorders>
            <w:shd w:val="clear" w:color="auto" w:fill="FFFFFF"/>
            <w:noWrap/>
            <w:vAlign w:val="center"/>
          </w:tcPr>
          <w:p w14:paraId="53580E32">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default" w:ascii="宋体" w:hAnsi="宋体" w:eastAsia="宋体" w:cs="宋体"/>
                <w:b w:val="0"/>
                <w:i w:val="0"/>
                <w:iCs w:val="0"/>
                <w:color w:val="000000"/>
                <w:sz w:val="18"/>
                <w:szCs w:val="18"/>
                <w:u w:val="none"/>
                <w:lang w:val="en-US"/>
              </w:rPr>
              <w:t>&lt; .001</w:t>
            </w:r>
          </w:p>
        </w:tc>
        <w:tc>
          <w:tcPr>
            <w:tcW w:w="625" w:type="pct"/>
            <w:tcBorders>
              <w:top w:val="nil"/>
              <w:left w:val="nil"/>
              <w:bottom w:val="single" w:color="000000" w:sz="12" w:space="0"/>
              <w:right w:val="nil"/>
            </w:tcBorders>
            <w:shd w:val="clear" w:color="auto" w:fill="FFFFFF"/>
            <w:noWrap/>
            <w:vAlign w:val="center"/>
          </w:tcPr>
          <w:p w14:paraId="2A08B423">
            <w:pPr>
              <w:keepNext w:val="0"/>
              <w:keepLines w:val="0"/>
              <w:widowControl/>
              <w:suppressLineNumbers w:val="0"/>
              <w:jc w:val="center"/>
              <w:textAlignment w:val="center"/>
              <w:rPr>
                <w:rFonts w:hint="default" w:ascii="宋体" w:hAnsi="宋体" w:eastAsia="宋体" w:cs="宋体"/>
                <w:b w:val="0"/>
                <w:i w:val="0"/>
                <w:iCs w:val="0"/>
                <w:color w:val="000000"/>
                <w:sz w:val="18"/>
                <w:szCs w:val="18"/>
                <w:u w:val="none"/>
                <w:lang w:val="en-US"/>
              </w:rPr>
            </w:pPr>
            <w:r>
              <w:rPr>
                <w:rFonts w:hint="eastAsia" w:ascii="宋体" w:hAnsi="宋体" w:eastAsia="宋体" w:cs="宋体"/>
                <w:b w:val="0"/>
                <w:i w:val="0"/>
                <w:iCs w:val="0"/>
                <w:color w:val="000000"/>
                <w:kern w:val="0"/>
                <w:sz w:val="18"/>
                <w:szCs w:val="18"/>
                <w:u w:val="none"/>
                <w:lang w:val="en-US" w:eastAsia="zh-CN" w:bidi="ar"/>
              </w:rPr>
              <w:t>0.11</w:t>
            </w:r>
            <w:r>
              <w:rPr>
                <w:rFonts w:hint="default" w:ascii="宋体" w:hAnsi="宋体" w:eastAsia="宋体" w:cs="宋体"/>
                <w:b w:val="0"/>
                <w:i w:val="0"/>
                <w:iCs w:val="0"/>
                <w:color w:val="000000"/>
                <w:kern w:val="0"/>
                <w:sz w:val="18"/>
                <w:szCs w:val="18"/>
                <w:u w:val="none"/>
                <w:lang w:val="en-US" w:eastAsia="zh-CN" w:bidi="ar"/>
              </w:rPr>
              <w:t>0</w:t>
            </w:r>
          </w:p>
        </w:tc>
        <w:tc>
          <w:tcPr>
            <w:tcW w:w="625" w:type="pct"/>
            <w:tcBorders>
              <w:top w:val="nil"/>
              <w:left w:val="nil"/>
              <w:bottom w:val="single" w:color="000000" w:sz="12" w:space="0"/>
              <w:right w:val="nil"/>
            </w:tcBorders>
            <w:shd w:val="clear" w:color="auto" w:fill="FFFFFF"/>
            <w:noWrap/>
            <w:vAlign w:val="center"/>
          </w:tcPr>
          <w:p w14:paraId="529969AA">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0.213</w:t>
            </w:r>
          </w:p>
        </w:tc>
      </w:tr>
    </w:tbl>
    <w:p w14:paraId="1D11B450">
      <w:pPr>
        <w:keepNext w:val="0"/>
        <w:keepLines w:val="0"/>
        <w:pageBreakBefore w:val="0"/>
        <w:widowControl w:val="0"/>
        <w:kinsoku/>
        <w:wordWrap/>
        <w:overflowPunct/>
        <w:topLinePunct w:val="0"/>
        <w:autoSpaceDE/>
        <w:autoSpaceDN/>
        <w:bidi w:val="0"/>
        <w:adjustRightInd/>
        <w:snapToGrid/>
        <w:spacing w:line="360" w:lineRule="auto"/>
        <w:ind w:firstLine="0" w:firstLineChars="0"/>
        <w:jc w:val="both"/>
        <w:textAlignment w:val="auto"/>
        <w:rPr>
          <w:rFonts w:hint="default" w:ascii="宋体" w:hAnsi="宋体" w:eastAsia="宋体" w:cs="宋体"/>
          <w:b w:val="0"/>
          <w:bCs w:val="0"/>
          <w:i w:val="0"/>
          <w:iCs w:val="0"/>
          <w:sz w:val="18"/>
          <w:szCs w:val="18"/>
          <w:lang w:val="en-US" w:eastAsia="zh-CN"/>
        </w:rPr>
      </w:pPr>
      <w:r>
        <w:rPr>
          <w:rFonts w:hint="default" w:ascii="宋体" w:hAnsi="宋体" w:eastAsia="宋体" w:cs="宋体"/>
          <w:b/>
          <w:bCs/>
          <w:i w:val="0"/>
          <w:iCs w:val="0"/>
          <w:sz w:val="18"/>
          <w:szCs w:val="18"/>
          <w:lang w:val="en-US" w:eastAsia="zh-CN"/>
        </w:rPr>
        <w:t xml:space="preserve">Figure 1 </w:t>
      </w:r>
      <w:r>
        <w:rPr>
          <w:rFonts w:hint="default" w:ascii="宋体" w:hAnsi="宋体" w:eastAsia="宋体" w:cs="宋体"/>
          <w:i/>
          <w:iCs/>
          <w:sz w:val="18"/>
          <w:szCs w:val="18"/>
          <w:lang w:val="en-US" w:eastAsia="zh-CN"/>
        </w:rPr>
        <w:t>Simple Slope Plot of Group Assignment on Post, Moderated by Pre</w:t>
      </w:r>
    </w:p>
    <w:p w14:paraId="5D815E99">
      <w:pPr>
        <w:jc w:val="center"/>
        <w:rPr>
          <w:rFonts w:hint="default"/>
          <w:lang w:val="en-US" w:eastAsia="zh-CN"/>
        </w:rPr>
      </w:pPr>
      <w:r>
        <w:drawing>
          <wp:inline distT="0" distB="0" distL="114300" distR="114300">
            <wp:extent cx="3460115" cy="2652395"/>
            <wp:effectExtent l="0" t="0" r="19685" b="14605"/>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4"/>
                    <a:stretch>
                      <a:fillRect/>
                    </a:stretch>
                  </pic:blipFill>
                  <pic:spPr>
                    <a:xfrm>
                      <a:off x="0" y="0"/>
                      <a:ext cx="3460115" cy="2652395"/>
                    </a:xfrm>
                    <a:prstGeom prst="rect">
                      <a:avLst/>
                    </a:prstGeom>
                    <a:noFill/>
                    <a:ln>
                      <a:noFill/>
                    </a:ln>
                  </pic:spPr>
                </pic:pic>
              </a:graphicData>
            </a:graphic>
          </wp:inline>
        </w:drawing>
      </w:r>
    </w:p>
    <w:p w14:paraId="7D55A309">
      <w:pPr>
        <w:keepNext w:val="0"/>
        <w:keepLines w:val="0"/>
        <w:pageBreakBefore w:val="0"/>
        <w:widowControl w:val="0"/>
        <w:kinsoku/>
        <w:wordWrap/>
        <w:overflowPunct/>
        <w:topLinePunct w:val="0"/>
        <w:autoSpaceDE/>
        <w:autoSpaceDN/>
        <w:bidi w:val="0"/>
        <w:adjustRightInd/>
        <w:snapToGrid/>
        <w:spacing w:line="360" w:lineRule="auto"/>
        <w:ind w:firstLine="420" w:firstLineChars="200"/>
        <w:textAlignment w:val="auto"/>
        <w:rPr>
          <w:rFonts w:hint="eastAsia" w:ascii="方正仿宋_GB2312" w:hAnsi="方正仿宋_GB2312" w:eastAsia="方正仿宋_GB2312" w:cs="方正仿宋_GB2312"/>
          <w:sz w:val="21"/>
          <w:szCs w:val="21"/>
          <w:lang w:val="en-US" w:eastAsia="zh-CN"/>
        </w:rPr>
      </w:pPr>
      <w:r>
        <w:rPr>
          <w:rFonts w:hint="eastAsia" w:ascii="方正仿宋_GB2312" w:hAnsi="方正仿宋_GB2312" w:eastAsia="方正仿宋_GB2312" w:cs="方正仿宋_GB2312"/>
          <w:sz w:val="21"/>
          <w:szCs w:val="21"/>
          <w:lang w:val="en-US" w:eastAsia="zh-CN"/>
        </w:rPr>
        <w:t>简单斜率分析结果（表3、图1）显示，前测得分对分组与后测的关系存在显著调节效应，三个典型前测水平下的组间差异均具有统计学显著性（p &lt; .001）：低前测水平（中心化后取值-1.739，对应原始分4.</w:t>
      </w:r>
      <w:r>
        <w:rPr>
          <w:rFonts w:hint="default" w:ascii="方正仿宋_GB2312" w:hAnsi="方正仿宋_GB2312" w:eastAsia="方正仿宋_GB2312" w:cs="方正仿宋_GB2312"/>
          <w:sz w:val="21"/>
          <w:szCs w:val="21"/>
          <w:lang w:val="en-US" w:eastAsia="zh-CN"/>
        </w:rPr>
        <w:t>571</w:t>
      </w:r>
      <w:r>
        <w:rPr>
          <w:rFonts w:hint="eastAsia" w:ascii="方正仿宋_GB2312" w:hAnsi="方正仿宋_GB2312" w:eastAsia="方正仿宋_GB2312" w:cs="方正仿宋_GB2312"/>
          <w:sz w:val="21"/>
          <w:szCs w:val="21"/>
          <w:lang w:val="en-US" w:eastAsia="zh-CN"/>
        </w:rPr>
        <w:t>分，低于样本均值1个标准差）：实验组后测得分显著高于对照组2.306分，95%CI[2.254, 2.357]；中等前测水平（中心化后取值0，对应原始分6.3</w:t>
      </w:r>
      <w:r>
        <w:rPr>
          <w:rFonts w:hint="default" w:ascii="方正仿宋_GB2312" w:hAnsi="方正仿宋_GB2312" w:eastAsia="方正仿宋_GB2312" w:cs="方正仿宋_GB2312"/>
          <w:sz w:val="21"/>
          <w:szCs w:val="21"/>
          <w:lang w:val="en-US" w:eastAsia="zh-CN"/>
        </w:rPr>
        <w:t>10</w:t>
      </w:r>
      <w:r>
        <w:rPr>
          <w:rFonts w:hint="eastAsia" w:ascii="方正仿宋_GB2312" w:hAnsi="方正仿宋_GB2312" w:eastAsia="方正仿宋_GB2312" w:cs="方正仿宋_GB2312"/>
          <w:sz w:val="21"/>
          <w:szCs w:val="21"/>
          <w:lang w:val="en-US" w:eastAsia="zh-CN"/>
        </w:rPr>
        <w:t>分，为样本均值水平）：实验组后测得分显著高于对照组1.233分，95%CI[1.197, 1.270]；高前测水平（中心化后取值1.739，对应原始分8.0</w:t>
      </w:r>
      <w:r>
        <w:rPr>
          <w:rFonts w:hint="default" w:ascii="方正仿宋_GB2312" w:hAnsi="方正仿宋_GB2312" w:eastAsia="方正仿宋_GB2312" w:cs="方正仿宋_GB2312"/>
          <w:sz w:val="21"/>
          <w:szCs w:val="21"/>
          <w:lang w:val="en-US" w:eastAsia="zh-CN"/>
        </w:rPr>
        <w:t>49</w:t>
      </w:r>
      <w:bookmarkStart w:id="0" w:name="_GoBack"/>
      <w:bookmarkEnd w:id="0"/>
      <w:r>
        <w:rPr>
          <w:rFonts w:hint="eastAsia" w:ascii="方正仿宋_GB2312" w:hAnsi="方正仿宋_GB2312" w:eastAsia="方正仿宋_GB2312" w:cs="方正仿宋_GB2312"/>
          <w:sz w:val="21"/>
          <w:szCs w:val="21"/>
          <w:lang w:val="en-US" w:eastAsia="zh-CN"/>
        </w:rPr>
        <w:t>分，高于样本均值1个标准差）：实验组后测得分仍显著高于对照组0.161分，95%CI[0.110, 0.213]。</w:t>
      </w:r>
    </w:p>
    <w:p w14:paraId="55369CFC">
      <w:pPr>
        <w:keepNext w:val="0"/>
        <w:keepLines w:val="0"/>
        <w:pageBreakBefore w:val="0"/>
        <w:widowControl w:val="0"/>
        <w:kinsoku/>
        <w:wordWrap/>
        <w:overflowPunct/>
        <w:topLinePunct w:val="0"/>
        <w:autoSpaceDE/>
        <w:autoSpaceDN/>
        <w:bidi w:val="0"/>
        <w:adjustRightInd/>
        <w:snapToGrid/>
        <w:spacing w:line="360" w:lineRule="auto"/>
        <w:ind w:firstLine="420" w:firstLineChars="200"/>
        <w:textAlignment w:val="auto"/>
        <w:rPr>
          <w:rFonts w:hint="eastAsia" w:ascii="方正仿宋_GB2312" w:hAnsi="方正仿宋_GB2312" w:eastAsia="方正仿宋_GB2312" w:cs="方正仿宋_GB2312"/>
          <w:sz w:val="21"/>
          <w:szCs w:val="21"/>
          <w:lang w:val="en-US" w:eastAsia="zh-CN"/>
        </w:rPr>
      </w:pPr>
      <w:r>
        <w:rPr>
          <w:rFonts w:hint="eastAsia" w:ascii="方正仿宋_GB2312" w:hAnsi="方正仿宋_GB2312" w:eastAsia="方正仿宋_GB2312" w:cs="方正仿宋_GB2312"/>
          <w:sz w:val="21"/>
          <w:szCs w:val="21"/>
          <w:lang w:val="en-US" w:eastAsia="zh-CN"/>
        </w:rPr>
        <w:t>结果表明，随着前测基线水平提升，实验组的教学提升效果逐渐减弱，简单斜率图也验证了该趋势：低前测组（蓝色实线）从对照组到实验组的提升幅度远大于高前测组（紫色虚线）。</w:t>
      </w:r>
    </w:p>
    <w:p w14:paraId="7B347CEE">
      <w:pPr>
        <w:rPr>
          <w:rFonts w:hint="default" w:ascii="方正仿宋_GB2312" w:hAnsi="方正仿宋_GB2312" w:eastAsia="方正仿宋_GB2312" w:cs="方正仿宋_GB2312"/>
          <w:sz w:val="21"/>
          <w:szCs w:val="21"/>
          <w:lang w:val="en-US" w:eastAsia="zh-CN"/>
        </w:rPr>
      </w:pPr>
      <w:r>
        <w:rPr>
          <w:rFonts w:hint="default" w:ascii="方正仿宋_GB2312" w:hAnsi="方正仿宋_GB2312" w:eastAsia="方正仿宋_GB2312" w:cs="方正仿宋_GB2312"/>
          <w:sz w:val="21"/>
          <w:szCs w:val="21"/>
          <w:lang w:val="en-US" w:eastAsia="zh-CN"/>
        </w:rPr>
        <w:br w:type="page"/>
      </w:r>
    </w:p>
    <w:p w14:paraId="738B73B8">
      <w:pPr>
        <w:keepNext w:val="0"/>
        <w:keepLines w:val="0"/>
        <w:pageBreakBefore w:val="0"/>
        <w:widowControl w:val="0"/>
        <w:kinsoku/>
        <w:wordWrap/>
        <w:overflowPunct/>
        <w:topLinePunct w:val="0"/>
        <w:autoSpaceDE/>
        <w:autoSpaceDN/>
        <w:bidi w:val="0"/>
        <w:adjustRightInd/>
        <w:snapToGrid/>
        <w:spacing w:line="360" w:lineRule="auto"/>
        <w:ind w:firstLine="420" w:firstLineChars="200"/>
        <w:textAlignment w:val="auto"/>
        <w:rPr>
          <w:rFonts w:hint="eastAsia" w:ascii="方正仿宋_GB2312" w:hAnsi="方正仿宋_GB2312" w:eastAsia="方正仿宋_GB2312" w:cs="方正仿宋_GB2312"/>
          <w:sz w:val="21"/>
          <w:szCs w:val="21"/>
          <w:lang w:val="en-US" w:eastAsia="zh-CN"/>
        </w:rPr>
      </w:pPr>
      <w:r>
        <w:rPr>
          <w:rFonts w:hint="default" w:ascii="方正仿宋_GB2312" w:hAnsi="方正仿宋_GB2312" w:eastAsia="方正仿宋_GB2312" w:cs="方正仿宋_GB2312"/>
          <w:sz w:val="21"/>
          <w:szCs w:val="21"/>
          <w:lang w:val="en-US" w:eastAsia="zh-CN"/>
        </w:rPr>
        <w:t xml:space="preserve">3. </w:t>
      </w:r>
      <w:r>
        <w:rPr>
          <w:rFonts w:hint="eastAsia" w:ascii="方正仿宋_GB2312" w:hAnsi="方正仿宋_GB2312" w:eastAsia="方正仿宋_GB2312" w:cs="方正仿宋_GB2312"/>
          <w:sz w:val="21"/>
          <w:szCs w:val="21"/>
          <w:lang w:val="en-US" w:eastAsia="zh-CN"/>
        </w:rPr>
        <w:t>为</w:t>
      </w:r>
      <w:r>
        <w:rPr>
          <w:rFonts w:hint="default" w:ascii="方正仿宋_GB2312" w:hAnsi="方正仿宋_GB2312" w:eastAsia="方正仿宋_GB2312" w:cs="方正仿宋_GB2312"/>
          <w:sz w:val="21"/>
          <w:szCs w:val="21"/>
          <w:lang w:val="en-US" w:eastAsia="zh-CN"/>
        </w:rPr>
        <w:t>保留协变量的连续信息</w:t>
      </w:r>
      <w:r>
        <w:rPr>
          <w:rFonts w:hint="eastAsia" w:ascii="方正仿宋_GB2312" w:hAnsi="方正仿宋_GB2312" w:eastAsia="方正仿宋_GB2312" w:cs="方正仿宋_GB2312"/>
          <w:sz w:val="21"/>
          <w:szCs w:val="21"/>
          <w:lang w:val="en-US" w:eastAsia="zh-CN"/>
        </w:rPr>
        <w:t>，</w:t>
      </w:r>
      <w:r>
        <w:rPr>
          <w:rFonts w:hint="default" w:ascii="方正仿宋_GB2312" w:hAnsi="方正仿宋_GB2312" w:eastAsia="方正仿宋_GB2312" w:cs="方正仿宋_GB2312"/>
          <w:sz w:val="21"/>
          <w:szCs w:val="21"/>
          <w:lang w:val="en-US" w:eastAsia="zh-CN"/>
        </w:rPr>
        <w:t>量化干预效应随协变量的变化趋势</w:t>
      </w:r>
      <w:r>
        <w:rPr>
          <w:rFonts w:hint="eastAsia" w:ascii="方正仿宋_GB2312" w:hAnsi="方正仿宋_GB2312" w:eastAsia="方正仿宋_GB2312" w:cs="方正仿宋_GB2312"/>
          <w:sz w:val="21"/>
          <w:szCs w:val="21"/>
          <w:lang w:val="en-US" w:eastAsia="zh-CN"/>
        </w:rPr>
        <w:t>，采用Johnson-Neyman法分析协变量（前测）不同取值范围下后测值组间的差异性。</w:t>
      </w:r>
    </w:p>
    <w:p w14:paraId="7449BDE0">
      <w:pPr>
        <w:keepNext w:val="0"/>
        <w:keepLines w:val="0"/>
        <w:pageBreakBefore w:val="0"/>
        <w:widowControl w:val="0"/>
        <w:kinsoku/>
        <w:wordWrap/>
        <w:overflowPunct/>
        <w:topLinePunct w:val="0"/>
        <w:autoSpaceDE/>
        <w:autoSpaceDN/>
        <w:bidi w:val="0"/>
        <w:adjustRightInd/>
        <w:snapToGrid/>
        <w:spacing w:line="360" w:lineRule="auto"/>
        <w:ind w:firstLine="0" w:firstLineChars="0"/>
        <w:jc w:val="both"/>
        <w:textAlignment w:val="auto"/>
        <w:rPr>
          <w:rFonts w:hint="eastAsia" w:ascii="宋体" w:hAnsi="宋体" w:eastAsia="宋体" w:cs="宋体"/>
          <w:b/>
          <w:bCs/>
          <w:i w:val="0"/>
          <w:iCs w:val="0"/>
          <w:sz w:val="18"/>
          <w:szCs w:val="18"/>
          <w:lang w:val="en-US" w:eastAsia="zh-CN"/>
        </w:rPr>
      </w:pPr>
      <w:r>
        <w:rPr>
          <w:rFonts w:hint="eastAsia" w:ascii="宋体" w:hAnsi="宋体" w:eastAsia="宋体" w:cs="宋体"/>
          <w:b/>
          <w:bCs/>
          <w:i w:val="0"/>
          <w:iCs w:val="0"/>
          <w:sz w:val="18"/>
          <w:szCs w:val="18"/>
          <w:lang w:val="en-US" w:eastAsia="zh-CN"/>
        </w:rPr>
        <w:t>Table</w:t>
      </w:r>
      <w:r>
        <w:rPr>
          <w:rFonts w:hint="default" w:ascii="宋体" w:hAnsi="宋体" w:eastAsia="宋体" w:cs="宋体"/>
          <w:b/>
          <w:bCs/>
          <w:i w:val="0"/>
          <w:iCs w:val="0"/>
          <w:sz w:val="18"/>
          <w:szCs w:val="18"/>
          <w:lang w:val="en-US" w:eastAsia="zh-CN"/>
        </w:rPr>
        <w:t xml:space="preserve"> 4</w:t>
      </w:r>
      <w:r>
        <w:rPr>
          <w:rFonts w:hint="eastAsia" w:ascii="宋体" w:hAnsi="宋体" w:eastAsia="宋体" w:cs="宋体"/>
          <w:b/>
          <w:bCs/>
          <w:i w:val="0"/>
          <w:iCs w:val="0"/>
          <w:sz w:val="18"/>
          <w:szCs w:val="18"/>
          <w:lang w:val="en-US" w:eastAsia="zh-CN"/>
        </w:rPr>
        <w:t xml:space="preserve"> </w:t>
      </w:r>
    </w:p>
    <w:p w14:paraId="3A5B3855">
      <w:pPr>
        <w:keepNext w:val="0"/>
        <w:keepLines w:val="0"/>
        <w:pageBreakBefore w:val="0"/>
        <w:widowControl w:val="0"/>
        <w:kinsoku/>
        <w:wordWrap/>
        <w:overflowPunct/>
        <w:topLinePunct w:val="0"/>
        <w:autoSpaceDE/>
        <w:autoSpaceDN/>
        <w:bidi w:val="0"/>
        <w:adjustRightInd/>
        <w:snapToGrid/>
        <w:spacing w:line="360" w:lineRule="auto"/>
        <w:ind w:firstLine="0" w:firstLineChars="0"/>
        <w:jc w:val="both"/>
        <w:textAlignment w:val="auto"/>
        <w:rPr>
          <w:rFonts w:hint="default" w:ascii="宋体" w:hAnsi="宋体" w:eastAsia="宋体" w:cs="宋体"/>
          <w:b w:val="0"/>
          <w:bCs w:val="0"/>
          <w:i w:val="0"/>
          <w:iCs w:val="0"/>
          <w:sz w:val="18"/>
          <w:szCs w:val="18"/>
          <w:lang w:val="en-US" w:eastAsia="zh-CN"/>
        </w:rPr>
      </w:pPr>
      <w:r>
        <w:rPr>
          <w:rFonts w:hint="default" w:ascii="宋体" w:hAnsi="宋体" w:eastAsia="宋体" w:cs="宋体"/>
          <w:i/>
          <w:iCs/>
          <w:sz w:val="18"/>
          <w:szCs w:val="18"/>
          <w:lang w:val="en-US" w:eastAsia="zh-CN"/>
        </w:rPr>
        <w:t>Johnson-Neyman Significance Region Thresholds for the Conditional Effect of Group Assignment on Post (α = .05)</w:t>
      </w:r>
    </w:p>
    <w:tbl>
      <w:tblPr>
        <w:tblStyle w:val="2"/>
        <w:tblW w:w="4997"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880"/>
        <w:gridCol w:w="880"/>
        <w:gridCol w:w="880"/>
        <w:gridCol w:w="880"/>
        <w:gridCol w:w="881"/>
        <w:gridCol w:w="881"/>
        <w:gridCol w:w="1368"/>
        <w:gridCol w:w="949"/>
        <w:gridCol w:w="918"/>
      </w:tblGrid>
      <w:tr w14:paraId="44E08FAB">
        <w:trPr>
          <w:trHeight w:val="352" w:hRule="atLeast"/>
        </w:trPr>
        <w:tc>
          <w:tcPr>
            <w:tcW w:w="527" w:type="pct"/>
            <w:tcBorders>
              <w:top w:val="single" w:color="000000" w:sz="12" w:space="0"/>
              <w:left w:val="nil"/>
              <w:bottom w:val="single" w:color="000000" w:sz="4" w:space="0"/>
              <w:right w:val="nil"/>
              <w:tl2br w:val="nil"/>
            </w:tcBorders>
            <w:shd w:val="clear" w:color="auto" w:fill="FFFFFF"/>
            <w:noWrap/>
            <w:vAlign w:val="center"/>
          </w:tcPr>
          <w:p w14:paraId="5B691BE5">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Pre_MC</w:t>
            </w:r>
          </w:p>
        </w:tc>
        <w:tc>
          <w:tcPr>
            <w:tcW w:w="527" w:type="pct"/>
            <w:tcBorders>
              <w:top w:val="single" w:color="000000" w:sz="12" w:space="0"/>
              <w:left w:val="nil"/>
              <w:bottom w:val="single" w:color="000000" w:sz="4" w:space="0"/>
              <w:right w:val="nil"/>
            </w:tcBorders>
            <w:shd w:val="clear" w:color="auto" w:fill="FFFFFF"/>
            <w:noWrap/>
            <w:vAlign w:val="center"/>
          </w:tcPr>
          <w:p w14:paraId="6F9D951D">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Raw</w:t>
            </w:r>
          </w:p>
        </w:tc>
        <w:tc>
          <w:tcPr>
            <w:tcW w:w="527" w:type="pct"/>
            <w:tcBorders>
              <w:top w:val="single" w:color="000000" w:sz="12" w:space="0"/>
              <w:left w:val="nil"/>
              <w:bottom w:val="single" w:color="000000" w:sz="4" w:space="0"/>
              <w:right w:val="nil"/>
            </w:tcBorders>
            <w:shd w:val="clear" w:color="auto" w:fill="FFFFFF"/>
            <w:noWrap/>
            <w:vAlign w:val="center"/>
          </w:tcPr>
          <w:p w14:paraId="004A7DDF">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Effect</w:t>
            </w:r>
          </w:p>
        </w:tc>
        <w:tc>
          <w:tcPr>
            <w:tcW w:w="527" w:type="pct"/>
            <w:tcBorders>
              <w:top w:val="single" w:color="000000" w:sz="12" w:space="0"/>
              <w:left w:val="nil"/>
              <w:bottom w:val="single" w:color="000000" w:sz="4" w:space="0"/>
              <w:right w:val="nil"/>
            </w:tcBorders>
            <w:shd w:val="clear" w:color="auto" w:fill="FFFFFF"/>
            <w:noWrap/>
            <w:vAlign w:val="center"/>
          </w:tcPr>
          <w:p w14:paraId="23440047">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se</w:t>
            </w:r>
          </w:p>
        </w:tc>
        <w:tc>
          <w:tcPr>
            <w:tcW w:w="527" w:type="pct"/>
            <w:tcBorders>
              <w:top w:val="single" w:color="000000" w:sz="12" w:space="0"/>
              <w:left w:val="nil"/>
              <w:bottom w:val="single" w:color="000000" w:sz="4" w:space="0"/>
              <w:right w:val="nil"/>
            </w:tcBorders>
            <w:shd w:val="clear" w:color="auto" w:fill="FFFFFF"/>
            <w:noWrap/>
            <w:vAlign w:val="center"/>
          </w:tcPr>
          <w:p w14:paraId="4F07AA26">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t</w:t>
            </w:r>
          </w:p>
        </w:tc>
        <w:tc>
          <w:tcPr>
            <w:tcW w:w="527" w:type="pct"/>
            <w:tcBorders>
              <w:top w:val="single" w:color="000000" w:sz="12" w:space="0"/>
              <w:left w:val="nil"/>
              <w:bottom w:val="single" w:color="000000" w:sz="4" w:space="0"/>
              <w:right w:val="nil"/>
            </w:tcBorders>
            <w:shd w:val="clear" w:color="auto" w:fill="FFFFFF"/>
            <w:noWrap/>
            <w:vAlign w:val="center"/>
          </w:tcPr>
          <w:p w14:paraId="0DDA1631">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p</w:t>
            </w:r>
          </w:p>
        </w:tc>
        <w:tc>
          <w:tcPr>
            <w:tcW w:w="716" w:type="pct"/>
            <w:tcBorders>
              <w:top w:val="single" w:color="000000" w:sz="12" w:space="0"/>
              <w:left w:val="nil"/>
              <w:bottom w:val="single" w:color="000000" w:sz="4" w:space="0"/>
              <w:right w:val="nil"/>
            </w:tcBorders>
            <w:shd w:val="clear" w:color="auto" w:fill="FFFFFF"/>
            <w:noWrap/>
            <w:vAlign w:val="center"/>
          </w:tcPr>
          <w:p w14:paraId="78D82ED6">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95%CI</w:t>
            </w:r>
          </w:p>
        </w:tc>
        <w:tc>
          <w:tcPr>
            <w:tcW w:w="567" w:type="pct"/>
            <w:tcBorders>
              <w:top w:val="single" w:color="000000" w:sz="12" w:space="0"/>
              <w:left w:val="nil"/>
              <w:bottom w:val="single" w:color="000000" w:sz="4" w:space="0"/>
              <w:right w:val="nil"/>
            </w:tcBorders>
            <w:shd w:val="clear" w:color="auto" w:fill="FFFFFF"/>
            <w:noWrap/>
            <w:vAlign w:val="center"/>
          </w:tcPr>
          <w:p w14:paraId="128230DB">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 Below</w:t>
            </w:r>
          </w:p>
        </w:tc>
        <w:tc>
          <w:tcPr>
            <w:tcW w:w="549" w:type="pct"/>
            <w:tcBorders>
              <w:top w:val="single" w:color="000000" w:sz="12" w:space="0"/>
              <w:left w:val="nil"/>
              <w:bottom w:val="single" w:color="000000" w:sz="4" w:space="0"/>
              <w:right w:val="nil"/>
            </w:tcBorders>
            <w:shd w:val="clear" w:color="auto" w:fill="FFFFFF"/>
            <w:noWrap/>
            <w:vAlign w:val="center"/>
          </w:tcPr>
          <w:p w14:paraId="33FAED14">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 Above</w:t>
            </w:r>
          </w:p>
        </w:tc>
      </w:tr>
      <w:tr w14:paraId="621D8EDB">
        <w:trPr>
          <w:trHeight w:val="352" w:hRule="atLeast"/>
        </w:trPr>
        <w:tc>
          <w:tcPr>
            <w:tcW w:w="527" w:type="pct"/>
            <w:tcBorders>
              <w:top w:val="single" w:color="000000" w:sz="4" w:space="0"/>
              <w:left w:val="nil"/>
              <w:bottom w:val="nil"/>
              <w:right w:val="nil"/>
            </w:tcBorders>
            <w:shd w:val="clear" w:color="auto" w:fill="FFFFFF"/>
            <w:noWrap/>
            <w:vAlign w:val="center"/>
          </w:tcPr>
          <w:p w14:paraId="7D62E4B1">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-3.107</w:t>
            </w:r>
          </w:p>
        </w:tc>
        <w:tc>
          <w:tcPr>
            <w:tcW w:w="527" w:type="pct"/>
            <w:tcBorders>
              <w:top w:val="single" w:color="000000" w:sz="4" w:space="0"/>
              <w:left w:val="nil"/>
              <w:bottom w:val="nil"/>
              <w:right w:val="nil"/>
            </w:tcBorders>
            <w:shd w:val="clear" w:color="auto" w:fill="FFFFFF"/>
            <w:noWrap/>
            <w:vAlign w:val="center"/>
          </w:tcPr>
          <w:p w14:paraId="2289FAC1">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3.203</w:t>
            </w:r>
          </w:p>
        </w:tc>
        <w:tc>
          <w:tcPr>
            <w:tcW w:w="527" w:type="pct"/>
            <w:tcBorders>
              <w:top w:val="single" w:color="000000" w:sz="4" w:space="0"/>
              <w:left w:val="nil"/>
              <w:bottom w:val="nil"/>
              <w:right w:val="nil"/>
            </w:tcBorders>
            <w:shd w:val="clear" w:color="auto" w:fill="FFFFFF"/>
            <w:noWrap/>
            <w:vAlign w:val="center"/>
          </w:tcPr>
          <w:p w14:paraId="5EEBD7E1">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3.149</w:t>
            </w:r>
          </w:p>
        </w:tc>
        <w:tc>
          <w:tcPr>
            <w:tcW w:w="527" w:type="pct"/>
            <w:tcBorders>
              <w:top w:val="single" w:color="000000" w:sz="4" w:space="0"/>
              <w:left w:val="nil"/>
              <w:bottom w:val="nil"/>
              <w:right w:val="nil"/>
            </w:tcBorders>
            <w:shd w:val="clear" w:color="auto" w:fill="FFFFFF"/>
            <w:noWrap/>
            <w:vAlign w:val="center"/>
          </w:tcPr>
          <w:p w14:paraId="58D02374">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0.037</w:t>
            </w:r>
          </w:p>
        </w:tc>
        <w:tc>
          <w:tcPr>
            <w:tcW w:w="527" w:type="pct"/>
            <w:tcBorders>
              <w:top w:val="single" w:color="000000" w:sz="4" w:space="0"/>
              <w:left w:val="nil"/>
              <w:bottom w:val="nil"/>
              <w:right w:val="nil"/>
            </w:tcBorders>
            <w:shd w:val="clear" w:color="auto" w:fill="FFFFFF"/>
            <w:noWrap/>
            <w:vAlign w:val="center"/>
          </w:tcPr>
          <w:p w14:paraId="35E0EB8F">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84.741</w:t>
            </w:r>
          </w:p>
        </w:tc>
        <w:tc>
          <w:tcPr>
            <w:tcW w:w="527" w:type="pct"/>
            <w:tcBorders>
              <w:top w:val="single" w:color="000000" w:sz="4" w:space="0"/>
              <w:left w:val="nil"/>
              <w:bottom w:val="nil"/>
              <w:right w:val="nil"/>
            </w:tcBorders>
            <w:shd w:val="clear" w:color="auto" w:fill="FFFFFF"/>
            <w:noWrap/>
            <w:vAlign w:val="center"/>
          </w:tcPr>
          <w:p w14:paraId="181DC84E">
            <w:pPr>
              <w:keepNext w:val="0"/>
              <w:keepLines w:val="0"/>
              <w:widowControl/>
              <w:suppressLineNumbers w:val="0"/>
              <w:jc w:val="center"/>
              <w:textAlignment w:val="center"/>
              <w:rPr>
                <w:rFonts w:hint="default" w:ascii="宋体" w:hAnsi="宋体" w:eastAsia="宋体" w:cs="宋体"/>
                <w:b w:val="0"/>
                <w:i w:val="0"/>
                <w:iCs w:val="0"/>
                <w:color w:val="000000"/>
                <w:sz w:val="18"/>
                <w:szCs w:val="18"/>
                <w:u w:val="none"/>
                <w:lang w:val="en-US"/>
              </w:rPr>
            </w:pPr>
            <w:r>
              <w:rPr>
                <w:rFonts w:hint="default" w:ascii="宋体" w:hAnsi="宋体" w:eastAsia="宋体" w:cs="宋体"/>
                <w:b w:val="0"/>
                <w:i w:val="0"/>
                <w:iCs w:val="0"/>
                <w:color w:val="000000"/>
                <w:sz w:val="18"/>
                <w:szCs w:val="18"/>
                <w:u w:val="none"/>
                <w:lang w:val="en-US"/>
              </w:rPr>
              <w:t>&lt;0.001</w:t>
            </w:r>
          </w:p>
        </w:tc>
        <w:tc>
          <w:tcPr>
            <w:tcW w:w="716" w:type="pct"/>
            <w:tcBorders>
              <w:top w:val="single" w:color="000000" w:sz="4" w:space="0"/>
              <w:left w:val="nil"/>
              <w:bottom w:val="nil"/>
              <w:right w:val="nil"/>
            </w:tcBorders>
            <w:shd w:val="clear" w:color="auto" w:fill="FFFFFF"/>
            <w:noWrap/>
            <w:vAlign w:val="center"/>
          </w:tcPr>
          <w:p w14:paraId="49A98096">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[3.074,3.223]</w:t>
            </w:r>
          </w:p>
        </w:tc>
        <w:tc>
          <w:tcPr>
            <w:tcW w:w="567" w:type="pct"/>
            <w:tcBorders>
              <w:top w:val="single" w:color="000000" w:sz="4" w:space="0"/>
              <w:left w:val="nil"/>
              <w:bottom w:val="nil"/>
              <w:right w:val="nil"/>
            </w:tcBorders>
            <w:shd w:val="clear" w:color="auto" w:fill="FFFFFF"/>
            <w:noWrap/>
            <w:vAlign w:val="center"/>
          </w:tcPr>
          <w:p w14:paraId="25916B40">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1.667</w:t>
            </w:r>
          </w:p>
        </w:tc>
        <w:tc>
          <w:tcPr>
            <w:tcW w:w="549" w:type="pct"/>
            <w:tcBorders>
              <w:top w:val="single" w:color="000000" w:sz="4" w:space="0"/>
              <w:left w:val="nil"/>
              <w:bottom w:val="nil"/>
              <w:right w:val="nil"/>
            </w:tcBorders>
            <w:shd w:val="clear" w:color="auto" w:fill="FFFFFF"/>
            <w:noWrap/>
            <w:vAlign w:val="center"/>
          </w:tcPr>
          <w:p w14:paraId="08F1AF84">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98.333</w:t>
            </w:r>
          </w:p>
        </w:tc>
      </w:tr>
      <w:tr w14:paraId="0B360DA9">
        <w:trPr>
          <w:trHeight w:val="352" w:hRule="atLeast"/>
        </w:trPr>
        <w:tc>
          <w:tcPr>
            <w:tcW w:w="527" w:type="pct"/>
            <w:tcBorders>
              <w:top w:val="nil"/>
              <w:left w:val="nil"/>
              <w:bottom w:val="nil"/>
              <w:right w:val="nil"/>
            </w:tcBorders>
            <w:shd w:val="clear" w:color="auto" w:fill="FFFFFF"/>
            <w:noWrap/>
            <w:vAlign w:val="center"/>
          </w:tcPr>
          <w:p w14:paraId="4A44C420">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1.913</w:t>
            </w:r>
          </w:p>
        </w:tc>
        <w:tc>
          <w:tcPr>
            <w:tcW w:w="527" w:type="pct"/>
            <w:tcBorders>
              <w:top w:val="nil"/>
              <w:left w:val="nil"/>
              <w:bottom w:val="nil"/>
              <w:right w:val="nil"/>
            </w:tcBorders>
            <w:shd w:val="clear" w:color="auto" w:fill="FFFFFF"/>
            <w:noWrap/>
            <w:vAlign w:val="center"/>
          </w:tcPr>
          <w:p w14:paraId="0FF09BBF">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8.223</w:t>
            </w:r>
          </w:p>
        </w:tc>
        <w:tc>
          <w:tcPr>
            <w:tcW w:w="527" w:type="pct"/>
            <w:tcBorders>
              <w:top w:val="nil"/>
              <w:left w:val="nil"/>
              <w:bottom w:val="nil"/>
              <w:right w:val="nil"/>
            </w:tcBorders>
            <w:shd w:val="clear" w:color="auto" w:fill="FFFFFF"/>
            <w:noWrap/>
            <w:vAlign w:val="center"/>
          </w:tcPr>
          <w:p w14:paraId="5965A922">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0.054</w:t>
            </w:r>
          </w:p>
        </w:tc>
        <w:tc>
          <w:tcPr>
            <w:tcW w:w="527" w:type="pct"/>
            <w:tcBorders>
              <w:top w:val="nil"/>
              <w:left w:val="nil"/>
              <w:bottom w:val="nil"/>
              <w:right w:val="nil"/>
            </w:tcBorders>
            <w:shd w:val="clear" w:color="auto" w:fill="FFFFFF"/>
            <w:noWrap/>
            <w:vAlign w:val="center"/>
          </w:tcPr>
          <w:p w14:paraId="5EF62ED3">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0.027</w:t>
            </w:r>
          </w:p>
        </w:tc>
        <w:tc>
          <w:tcPr>
            <w:tcW w:w="527" w:type="pct"/>
            <w:tcBorders>
              <w:top w:val="nil"/>
              <w:left w:val="nil"/>
              <w:bottom w:val="nil"/>
              <w:right w:val="nil"/>
            </w:tcBorders>
            <w:shd w:val="clear" w:color="auto" w:fill="FFFFFF"/>
            <w:noWrap/>
            <w:vAlign w:val="center"/>
          </w:tcPr>
          <w:p w14:paraId="13755FBF">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2.003</w:t>
            </w:r>
          </w:p>
        </w:tc>
        <w:tc>
          <w:tcPr>
            <w:tcW w:w="527" w:type="pct"/>
            <w:tcBorders>
              <w:top w:val="nil"/>
              <w:left w:val="nil"/>
              <w:bottom w:val="nil"/>
              <w:right w:val="nil"/>
            </w:tcBorders>
            <w:shd w:val="clear" w:color="auto" w:fill="FFFFFF"/>
            <w:noWrap/>
            <w:vAlign w:val="center"/>
          </w:tcPr>
          <w:p w14:paraId="7A0F0976">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0.050</w:t>
            </w:r>
          </w:p>
        </w:tc>
        <w:tc>
          <w:tcPr>
            <w:tcW w:w="716" w:type="pct"/>
            <w:tcBorders>
              <w:top w:val="nil"/>
              <w:left w:val="nil"/>
              <w:bottom w:val="nil"/>
              <w:right w:val="nil"/>
            </w:tcBorders>
            <w:shd w:val="clear" w:color="auto" w:fill="FFFFFF"/>
            <w:noWrap/>
            <w:vAlign w:val="center"/>
          </w:tcPr>
          <w:p w14:paraId="27BB05DB">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[0</w:t>
            </w:r>
            <w:r>
              <w:rPr>
                <w:rFonts w:hint="default" w:ascii="宋体" w:hAnsi="宋体" w:eastAsia="宋体" w:cs="宋体"/>
                <w:b w:val="0"/>
                <w:i w:val="0"/>
                <w:iCs w:val="0"/>
                <w:color w:val="000000"/>
                <w:kern w:val="0"/>
                <w:sz w:val="18"/>
                <w:szCs w:val="18"/>
                <w:u w:val="none"/>
                <w:lang w:val="en-US" w:eastAsia="zh-CN" w:bidi="ar"/>
              </w:rPr>
              <w:t>.000</w:t>
            </w:r>
            <w:r>
              <w:rPr>
                <w:rFonts w:hint="eastAsia" w:ascii="宋体" w:hAnsi="宋体" w:eastAsia="宋体" w:cs="宋体"/>
                <w:b w:val="0"/>
                <w:i w:val="0"/>
                <w:iCs w:val="0"/>
                <w:color w:val="000000"/>
                <w:kern w:val="0"/>
                <w:sz w:val="18"/>
                <w:szCs w:val="18"/>
                <w:u w:val="none"/>
                <w:lang w:val="en-US" w:eastAsia="zh-CN" w:bidi="ar"/>
              </w:rPr>
              <w:t>,0.108]</w:t>
            </w:r>
          </w:p>
        </w:tc>
        <w:tc>
          <w:tcPr>
            <w:tcW w:w="567" w:type="pct"/>
            <w:tcBorders>
              <w:top w:val="nil"/>
              <w:left w:val="nil"/>
              <w:bottom w:val="nil"/>
              <w:right w:val="nil"/>
            </w:tcBorders>
            <w:shd w:val="clear" w:color="auto" w:fill="FFFFFF"/>
            <w:noWrap/>
            <w:vAlign w:val="center"/>
          </w:tcPr>
          <w:p w14:paraId="78CC5ED0">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81.667</w:t>
            </w:r>
          </w:p>
        </w:tc>
        <w:tc>
          <w:tcPr>
            <w:tcW w:w="549" w:type="pct"/>
            <w:tcBorders>
              <w:top w:val="nil"/>
              <w:left w:val="nil"/>
              <w:bottom w:val="nil"/>
              <w:right w:val="nil"/>
            </w:tcBorders>
            <w:shd w:val="clear" w:color="auto" w:fill="FFFFFF"/>
            <w:noWrap/>
            <w:vAlign w:val="center"/>
          </w:tcPr>
          <w:p w14:paraId="2CEAE52A">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18.333</w:t>
            </w:r>
          </w:p>
        </w:tc>
      </w:tr>
      <w:tr w14:paraId="1E81A937">
        <w:trPr>
          <w:trHeight w:val="352" w:hRule="atLeast"/>
        </w:trPr>
        <w:tc>
          <w:tcPr>
            <w:tcW w:w="527" w:type="pct"/>
            <w:tcBorders>
              <w:top w:val="nil"/>
              <w:left w:val="nil"/>
              <w:bottom w:val="nil"/>
              <w:right w:val="nil"/>
            </w:tcBorders>
            <w:shd w:val="clear" w:color="auto" w:fill="FFFFFF"/>
            <w:noWrap/>
            <w:vAlign w:val="center"/>
          </w:tcPr>
          <w:p w14:paraId="7210B6E7">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2.093</w:t>
            </w:r>
          </w:p>
        </w:tc>
        <w:tc>
          <w:tcPr>
            <w:tcW w:w="527" w:type="pct"/>
            <w:tcBorders>
              <w:top w:val="nil"/>
              <w:left w:val="nil"/>
              <w:bottom w:val="nil"/>
              <w:right w:val="nil"/>
            </w:tcBorders>
            <w:shd w:val="clear" w:color="auto" w:fill="FFFFFF"/>
            <w:noWrap/>
            <w:vAlign w:val="center"/>
          </w:tcPr>
          <w:p w14:paraId="4FA83775">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8.403</w:t>
            </w:r>
          </w:p>
        </w:tc>
        <w:tc>
          <w:tcPr>
            <w:tcW w:w="527" w:type="pct"/>
            <w:tcBorders>
              <w:top w:val="nil"/>
              <w:left w:val="nil"/>
              <w:bottom w:val="nil"/>
              <w:right w:val="nil"/>
            </w:tcBorders>
            <w:shd w:val="clear" w:color="auto" w:fill="FFFFFF"/>
            <w:noWrap/>
            <w:vAlign w:val="center"/>
          </w:tcPr>
          <w:p w14:paraId="5C585423">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-0.057</w:t>
            </w:r>
          </w:p>
        </w:tc>
        <w:tc>
          <w:tcPr>
            <w:tcW w:w="527" w:type="pct"/>
            <w:tcBorders>
              <w:top w:val="nil"/>
              <w:left w:val="nil"/>
              <w:bottom w:val="nil"/>
              <w:right w:val="nil"/>
            </w:tcBorders>
            <w:shd w:val="clear" w:color="auto" w:fill="FFFFFF"/>
            <w:noWrap/>
            <w:vAlign w:val="center"/>
          </w:tcPr>
          <w:p w14:paraId="328AC7D1">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0.028</w:t>
            </w:r>
          </w:p>
        </w:tc>
        <w:tc>
          <w:tcPr>
            <w:tcW w:w="527" w:type="pct"/>
            <w:tcBorders>
              <w:top w:val="nil"/>
              <w:left w:val="nil"/>
              <w:bottom w:val="nil"/>
              <w:right w:val="nil"/>
            </w:tcBorders>
            <w:shd w:val="clear" w:color="auto" w:fill="FFFFFF"/>
            <w:noWrap/>
            <w:vAlign w:val="center"/>
          </w:tcPr>
          <w:p w14:paraId="31536B3D">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-2.003</w:t>
            </w:r>
          </w:p>
        </w:tc>
        <w:tc>
          <w:tcPr>
            <w:tcW w:w="527" w:type="pct"/>
            <w:tcBorders>
              <w:top w:val="nil"/>
              <w:left w:val="nil"/>
              <w:bottom w:val="nil"/>
              <w:right w:val="nil"/>
            </w:tcBorders>
            <w:shd w:val="clear" w:color="auto" w:fill="FFFFFF"/>
            <w:noWrap/>
            <w:vAlign w:val="center"/>
          </w:tcPr>
          <w:p w14:paraId="3EDE3738">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0.050</w:t>
            </w:r>
          </w:p>
        </w:tc>
        <w:tc>
          <w:tcPr>
            <w:tcW w:w="716" w:type="pct"/>
            <w:tcBorders>
              <w:top w:val="nil"/>
              <w:left w:val="nil"/>
              <w:bottom w:val="nil"/>
              <w:right w:val="nil"/>
            </w:tcBorders>
            <w:shd w:val="clear" w:color="auto" w:fill="FFFFFF"/>
            <w:noWrap/>
            <w:vAlign w:val="center"/>
          </w:tcPr>
          <w:p w14:paraId="38C5D751">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[-0.114,0</w:t>
            </w:r>
            <w:r>
              <w:rPr>
                <w:rFonts w:hint="default" w:ascii="宋体" w:hAnsi="宋体" w:eastAsia="宋体" w:cs="宋体"/>
                <w:b w:val="0"/>
                <w:i w:val="0"/>
                <w:iCs w:val="0"/>
                <w:color w:val="000000"/>
                <w:kern w:val="0"/>
                <w:sz w:val="18"/>
                <w:szCs w:val="18"/>
                <w:u w:val="none"/>
                <w:lang w:val="en-US" w:eastAsia="zh-CN" w:bidi="ar"/>
              </w:rPr>
              <w:t>.000</w:t>
            </w:r>
            <w:r>
              <w:rPr>
                <w:rFonts w:hint="eastAsia" w:ascii="宋体" w:hAnsi="宋体" w:eastAsia="宋体" w:cs="宋体"/>
                <w:b w:val="0"/>
                <w:i w:val="0"/>
                <w:iCs w:val="0"/>
                <w:color w:val="000000"/>
                <w:kern w:val="0"/>
                <w:sz w:val="18"/>
                <w:szCs w:val="18"/>
                <w:u w:val="none"/>
                <w:lang w:val="en-US" w:eastAsia="zh-CN" w:bidi="ar"/>
              </w:rPr>
              <w:t>]</w:t>
            </w:r>
          </w:p>
        </w:tc>
        <w:tc>
          <w:tcPr>
            <w:tcW w:w="567" w:type="pct"/>
            <w:tcBorders>
              <w:top w:val="nil"/>
              <w:left w:val="nil"/>
              <w:bottom w:val="nil"/>
              <w:right w:val="nil"/>
            </w:tcBorders>
            <w:shd w:val="clear" w:color="auto" w:fill="FFFFFF"/>
            <w:noWrap/>
            <w:vAlign w:val="center"/>
          </w:tcPr>
          <w:p w14:paraId="78460D73">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83.333</w:t>
            </w:r>
          </w:p>
        </w:tc>
        <w:tc>
          <w:tcPr>
            <w:tcW w:w="549" w:type="pct"/>
            <w:tcBorders>
              <w:top w:val="nil"/>
              <w:left w:val="nil"/>
              <w:bottom w:val="nil"/>
              <w:right w:val="nil"/>
            </w:tcBorders>
            <w:shd w:val="clear" w:color="auto" w:fill="FFFFFF"/>
            <w:noWrap/>
            <w:vAlign w:val="center"/>
          </w:tcPr>
          <w:p w14:paraId="4A20DA21">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16.667</w:t>
            </w:r>
          </w:p>
        </w:tc>
      </w:tr>
      <w:tr w14:paraId="26080F35">
        <w:trPr>
          <w:trHeight w:val="352" w:hRule="atLeast"/>
        </w:trPr>
        <w:tc>
          <w:tcPr>
            <w:tcW w:w="527" w:type="pct"/>
            <w:tcBorders>
              <w:top w:val="nil"/>
              <w:left w:val="nil"/>
              <w:bottom w:val="single" w:color="000000" w:sz="12" w:space="0"/>
              <w:right w:val="nil"/>
            </w:tcBorders>
            <w:shd w:val="clear" w:color="auto" w:fill="FFFFFF"/>
            <w:noWrap/>
            <w:vAlign w:val="center"/>
          </w:tcPr>
          <w:p w14:paraId="05280773">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2.893</w:t>
            </w:r>
          </w:p>
        </w:tc>
        <w:tc>
          <w:tcPr>
            <w:tcW w:w="527" w:type="pct"/>
            <w:tcBorders>
              <w:top w:val="nil"/>
              <w:left w:val="nil"/>
              <w:bottom w:val="single" w:color="000000" w:sz="12" w:space="0"/>
              <w:right w:val="nil"/>
            </w:tcBorders>
            <w:shd w:val="clear" w:color="auto" w:fill="FFFFFF"/>
            <w:noWrap/>
            <w:vAlign w:val="center"/>
          </w:tcPr>
          <w:p w14:paraId="105BD1E8">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9.203</w:t>
            </w:r>
          </w:p>
        </w:tc>
        <w:tc>
          <w:tcPr>
            <w:tcW w:w="527" w:type="pct"/>
            <w:tcBorders>
              <w:top w:val="nil"/>
              <w:left w:val="nil"/>
              <w:bottom w:val="single" w:color="000000" w:sz="12" w:space="0"/>
              <w:right w:val="nil"/>
            </w:tcBorders>
            <w:shd w:val="clear" w:color="auto" w:fill="FFFFFF"/>
            <w:noWrap/>
            <w:vAlign w:val="center"/>
          </w:tcPr>
          <w:p w14:paraId="23F0A00C">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-0.550</w:t>
            </w:r>
          </w:p>
        </w:tc>
        <w:tc>
          <w:tcPr>
            <w:tcW w:w="527" w:type="pct"/>
            <w:tcBorders>
              <w:top w:val="nil"/>
              <w:left w:val="nil"/>
              <w:bottom w:val="single" w:color="000000" w:sz="12" w:space="0"/>
              <w:right w:val="nil"/>
            </w:tcBorders>
            <w:shd w:val="clear" w:color="auto" w:fill="FFFFFF"/>
            <w:noWrap/>
            <w:vAlign w:val="center"/>
          </w:tcPr>
          <w:p w14:paraId="5E71A821">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0.035</w:t>
            </w:r>
          </w:p>
        </w:tc>
        <w:tc>
          <w:tcPr>
            <w:tcW w:w="527" w:type="pct"/>
            <w:tcBorders>
              <w:top w:val="nil"/>
              <w:left w:val="nil"/>
              <w:bottom w:val="single" w:color="000000" w:sz="12" w:space="0"/>
              <w:right w:val="nil"/>
            </w:tcBorders>
            <w:shd w:val="clear" w:color="auto" w:fill="FFFFFF"/>
            <w:noWrap/>
            <w:vAlign w:val="center"/>
          </w:tcPr>
          <w:p w14:paraId="0871F83B">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-15.597</w:t>
            </w:r>
          </w:p>
        </w:tc>
        <w:tc>
          <w:tcPr>
            <w:tcW w:w="527" w:type="pct"/>
            <w:tcBorders>
              <w:top w:val="nil"/>
              <w:left w:val="nil"/>
              <w:bottom w:val="single" w:color="000000" w:sz="12" w:space="0"/>
              <w:right w:val="nil"/>
            </w:tcBorders>
            <w:shd w:val="clear" w:color="auto" w:fill="FFFFFF"/>
            <w:noWrap/>
            <w:vAlign w:val="center"/>
          </w:tcPr>
          <w:p w14:paraId="19F10B60">
            <w:pPr>
              <w:keepNext w:val="0"/>
              <w:keepLines w:val="0"/>
              <w:widowControl/>
              <w:suppressLineNumbers w:val="0"/>
              <w:jc w:val="center"/>
              <w:textAlignment w:val="center"/>
              <w:rPr>
                <w:rFonts w:hint="eastAsia" w:ascii="宋体" w:hAnsi="宋体" w:eastAsia="宋体" w:cs="宋体"/>
                <w:b w:val="0"/>
                <w:i w:val="0"/>
                <w:iCs w:val="0"/>
                <w:color w:val="000000"/>
                <w:kern w:val="2"/>
                <w:sz w:val="18"/>
                <w:szCs w:val="18"/>
                <w:u w:val="none"/>
                <w:lang w:val="en-US" w:eastAsia="zh-CN" w:bidi="ar-SA"/>
              </w:rPr>
            </w:pPr>
            <w:r>
              <w:rPr>
                <w:rFonts w:hint="default" w:ascii="宋体" w:hAnsi="宋体" w:eastAsia="宋体" w:cs="宋体"/>
                <w:b w:val="0"/>
                <w:i w:val="0"/>
                <w:iCs w:val="0"/>
                <w:color w:val="000000"/>
                <w:sz w:val="18"/>
                <w:szCs w:val="18"/>
                <w:u w:val="none"/>
                <w:lang w:val="en-US"/>
              </w:rPr>
              <w:t>&lt;0.001</w:t>
            </w:r>
          </w:p>
        </w:tc>
        <w:tc>
          <w:tcPr>
            <w:tcW w:w="716" w:type="pct"/>
            <w:tcBorders>
              <w:top w:val="nil"/>
              <w:left w:val="nil"/>
              <w:bottom w:val="single" w:color="000000" w:sz="12" w:space="0"/>
              <w:right w:val="nil"/>
            </w:tcBorders>
            <w:shd w:val="clear" w:color="auto" w:fill="FFFFFF"/>
            <w:noWrap/>
            <w:vAlign w:val="center"/>
          </w:tcPr>
          <w:p w14:paraId="1A83C93A">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[-0.621,-0.4</w:t>
            </w:r>
            <w:r>
              <w:rPr>
                <w:rFonts w:hint="default" w:ascii="宋体" w:hAnsi="宋体" w:eastAsia="宋体" w:cs="宋体"/>
                <w:b w:val="0"/>
                <w:i w:val="0"/>
                <w:iCs w:val="0"/>
                <w:color w:val="000000"/>
                <w:kern w:val="0"/>
                <w:sz w:val="18"/>
                <w:szCs w:val="18"/>
                <w:u w:val="none"/>
                <w:lang w:val="en-US" w:eastAsia="zh-CN" w:bidi="ar"/>
              </w:rPr>
              <w:t>00</w:t>
            </w:r>
            <w:r>
              <w:rPr>
                <w:rFonts w:hint="eastAsia" w:ascii="宋体" w:hAnsi="宋体" w:eastAsia="宋体" w:cs="宋体"/>
                <w:b w:val="0"/>
                <w:i w:val="0"/>
                <w:iCs w:val="0"/>
                <w:color w:val="000000"/>
                <w:kern w:val="0"/>
                <w:sz w:val="18"/>
                <w:szCs w:val="18"/>
                <w:u w:val="none"/>
                <w:lang w:val="en-US" w:eastAsia="zh-CN" w:bidi="ar"/>
              </w:rPr>
              <w:t>]</w:t>
            </w:r>
          </w:p>
        </w:tc>
        <w:tc>
          <w:tcPr>
            <w:tcW w:w="567" w:type="pct"/>
            <w:tcBorders>
              <w:top w:val="nil"/>
              <w:left w:val="nil"/>
              <w:bottom w:val="single" w:color="000000" w:sz="12" w:space="0"/>
              <w:right w:val="nil"/>
            </w:tcBorders>
            <w:shd w:val="clear" w:color="auto" w:fill="FFFFFF"/>
            <w:noWrap/>
            <w:vAlign w:val="center"/>
          </w:tcPr>
          <w:p w14:paraId="147D8761">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100.000</w:t>
            </w:r>
          </w:p>
        </w:tc>
        <w:tc>
          <w:tcPr>
            <w:tcW w:w="549" w:type="pct"/>
            <w:tcBorders>
              <w:top w:val="nil"/>
              <w:left w:val="nil"/>
              <w:bottom w:val="single" w:color="000000" w:sz="12" w:space="0"/>
              <w:right w:val="nil"/>
            </w:tcBorders>
            <w:shd w:val="clear" w:color="auto" w:fill="FFFFFF"/>
            <w:noWrap/>
            <w:vAlign w:val="center"/>
          </w:tcPr>
          <w:p w14:paraId="76B1106B">
            <w:pPr>
              <w:keepNext w:val="0"/>
              <w:keepLines w:val="0"/>
              <w:widowControl/>
              <w:suppressLineNumbers w:val="0"/>
              <w:jc w:val="center"/>
              <w:textAlignment w:val="center"/>
              <w:rPr>
                <w:rFonts w:hint="eastAsia" w:ascii="宋体" w:hAnsi="宋体" w:eastAsia="宋体" w:cs="宋体"/>
                <w:b w:val="0"/>
                <w:i w:val="0"/>
                <w:iCs w:val="0"/>
                <w:color w:val="000000"/>
                <w:sz w:val="18"/>
                <w:szCs w:val="18"/>
                <w:u w:val="none"/>
              </w:rPr>
            </w:pPr>
            <w:r>
              <w:rPr>
                <w:rFonts w:hint="eastAsia" w:ascii="宋体" w:hAnsi="宋体" w:eastAsia="宋体" w:cs="宋体"/>
                <w:b w:val="0"/>
                <w:i w:val="0"/>
                <w:iCs w:val="0"/>
                <w:color w:val="000000"/>
                <w:kern w:val="0"/>
                <w:sz w:val="18"/>
                <w:szCs w:val="18"/>
                <w:u w:val="none"/>
                <w:lang w:val="en-US" w:eastAsia="zh-CN" w:bidi="ar"/>
              </w:rPr>
              <w:t>0.000</w:t>
            </w:r>
          </w:p>
        </w:tc>
      </w:tr>
    </w:tbl>
    <w:p w14:paraId="1005EB51">
      <w:pPr>
        <w:keepNext w:val="0"/>
        <w:keepLines w:val="0"/>
        <w:pageBreakBefore w:val="0"/>
        <w:widowControl w:val="0"/>
        <w:kinsoku/>
        <w:wordWrap/>
        <w:overflowPunct/>
        <w:topLinePunct w:val="0"/>
        <w:autoSpaceDE/>
        <w:autoSpaceDN/>
        <w:bidi w:val="0"/>
        <w:adjustRightInd/>
        <w:snapToGrid/>
        <w:spacing w:line="360" w:lineRule="auto"/>
        <w:ind w:firstLine="0" w:firstLineChars="0"/>
        <w:jc w:val="both"/>
        <w:textAlignment w:val="auto"/>
        <w:rPr>
          <w:rFonts w:hint="default" w:ascii="宋体" w:hAnsi="宋体" w:eastAsia="宋体" w:cs="宋体"/>
          <w:b w:val="0"/>
          <w:bCs w:val="0"/>
          <w:i w:val="0"/>
          <w:iCs w:val="0"/>
          <w:sz w:val="18"/>
          <w:szCs w:val="18"/>
          <w:lang w:val="en-US" w:eastAsia="zh-CN"/>
        </w:rPr>
      </w:pPr>
      <w:r>
        <w:rPr>
          <w:rFonts w:hint="default" w:ascii="宋体" w:hAnsi="宋体" w:eastAsia="宋体" w:cs="宋体"/>
          <w:b/>
          <w:bCs/>
          <w:i w:val="0"/>
          <w:iCs w:val="0"/>
          <w:sz w:val="18"/>
          <w:szCs w:val="18"/>
          <w:lang w:val="en-US" w:eastAsia="zh-CN"/>
        </w:rPr>
        <w:t xml:space="preserve">Figure </w:t>
      </w:r>
      <w:r>
        <w:rPr>
          <w:rFonts w:hint="eastAsia" w:ascii="宋体" w:hAnsi="宋体" w:eastAsia="宋体" w:cs="宋体"/>
          <w:b/>
          <w:bCs/>
          <w:i w:val="0"/>
          <w:iCs w:val="0"/>
          <w:sz w:val="18"/>
          <w:szCs w:val="18"/>
          <w:lang w:val="en-US" w:eastAsia="zh-CN"/>
        </w:rPr>
        <w:t>2</w:t>
      </w:r>
      <w:r>
        <w:rPr>
          <w:rFonts w:hint="default" w:ascii="宋体" w:hAnsi="宋体" w:eastAsia="宋体" w:cs="宋体"/>
          <w:b/>
          <w:bCs/>
          <w:i w:val="0"/>
          <w:iCs w:val="0"/>
          <w:sz w:val="18"/>
          <w:szCs w:val="18"/>
          <w:lang w:val="en-US" w:eastAsia="zh-CN"/>
        </w:rPr>
        <w:t xml:space="preserve"> </w:t>
      </w:r>
      <w:r>
        <w:rPr>
          <w:rFonts w:hint="eastAsia" w:ascii="宋体" w:hAnsi="宋体" w:eastAsia="宋体" w:cs="宋体"/>
          <w:i/>
          <w:iCs/>
          <w:sz w:val="18"/>
          <w:szCs w:val="18"/>
          <w:lang w:val="en-US" w:eastAsia="zh-CN"/>
        </w:rPr>
        <w:t>Simple Slope Plot of Group Assignment on Post, Moderated by Pre</w:t>
      </w:r>
    </w:p>
    <w:p w14:paraId="1914FC64">
      <w:pPr>
        <w:keepNext w:val="0"/>
        <w:keepLines w:val="0"/>
        <w:pageBreakBefore w:val="0"/>
        <w:widowControl w:val="0"/>
        <w:kinsoku/>
        <w:wordWrap/>
        <w:overflowPunct/>
        <w:topLinePunct w:val="0"/>
        <w:autoSpaceDE/>
        <w:autoSpaceDN/>
        <w:bidi w:val="0"/>
        <w:adjustRightInd/>
        <w:snapToGrid/>
        <w:spacing w:line="360" w:lineRule="auto"/>
        <w:ind w:firstLine="420" w:firstLineChars="200"/>
        <w:textAlignment w:val="auto"/>
      </w:pPr>
      <w:r>
        <w:drawing>
          <wp:inline distT="0" distB="0" distL="114300" distR="114300">
            <wp:extent cx="5268595" cy="2542540"/>
            <wp:effectExtent l="0" t="0" r="14605" b="2286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5"/>
                    <a:stretch>
                      <a:fillRect/>
                    </a:stretch>
                  </pic:blipFill>
                  <pic:spPr>
                    <a:xfrm>
                      <a:off x="0" y="0"/>
                      <a:ext cx="5268595" cy="2542540"/>
                    </a:xfrm>
                    <a:prstGeom prst="rect">
                      <a:avLst/>
                    </a:prstGeom>
                    <a:noFill/>
                    <a:ln>
                      <a:noFill/>
                    </a:ln>
                  </pic:spPr>
                </pic:pic>
              </a:graphicData>
            </a:graphic>
          </wp:inline>
        </w:drawing>
      </w:r>
    </w:p>
    <w:p w14:paraId="02DA8B58">
      <w:pPr>
        <w:keepNext w:val="0"/>
        <w:keepLines w:val="0"/>
        <w:pageBreakBefore w:val="0"/>
        <w:widowControl w:val="0"/>
        <w:kinsoku/>
        <w:wordWrap/>
        <w:overflowPunct/>
        <w:topLinePunct w:val="0"/>
        <w:autoSpaceDE/>
        <w:autoSpaceDN/>
        <w:bidi w:val="0"/>
        <w:adjustRightInd/>
        <w:snapToGrid/>
        <w:spacing w:line="360" w:lineRule="auto"/>
        <w:ind w:firstLine="420" w:firstLineChars="200"/>
        <w:textAlignment w:val="auto"/>
        <w:rPr>
          <w:rFonts w:hint="eastAsia" w:ascii="方正仿宋_GB2312" w:hAnsi="方正仿宋_GB2312" w:eastAsia="方正仿宋_GB2312" w:cs="方正仿宋_GB2312"/>
          <w:sz w:val="21"/>
          <w:szCs w:val="21"/>
          <w:lang w:val="en-US" w:eastAsia="zh-CN"/>
        </w:rPr>
      </w:pPr>
      <w:r>
        <w:rPr>
          <w:rFonts w:hint="eastAsia" w:ascii="方正仿宋_GB2312" w:hAnsi="方正仿宋_GB2312" w:eastAsia="方正仿宋_GB2312" w:cs="方正仿宋_GB2312"/>
          <w:sz w:val="21"/>
          <w:szCs w:val="21"/>
          <w:lang w:val="en-US" w:eastAsia="zh-CN"/>
        </w:rPr>
        <w:t>Johnson-Neyman法分析结果表明：基础薄弱/中等学生段（原始前测&lt;8.</w:t>
      </w:r>
      <w:r>
        <w:rPr>
          <w:rFonts w:hint="default" w:ascii="方正仿宋_GB2312" w:hAnsi="方正仿宋_GB2312" w:eastAsia="方正仿宋_GB2312" w:cs="方正仿宋_GB2312"/>
          <w:sz w:val="21"/>
          <w:szCs w:val="21"/>
          <w:lang w:val="en-US" w:eastAsia="zh-CN"/>
        </w:rPr>
        <w:t>223</w:t>
      </w:r>
      <w:r>
        <w:rPr>
          <w:rFonts w:hint="eastAsia" w:ascii="方正仿宋_GB2312" w:hAnsi="方正仿宋_GB2312" w:eastAsia="方正仿宋_GB2312" w:cs="方正仿宋_GB2312"/>
          <w:sz w:val="21"/>
          <w:szCs w:val="21"/>
          <w:lang w:val="en-US" w:eastAsia="zh-CN"/>
        </w:rPr>
        <w:t>分，对应Pre_MC&lt;1.91</w:t>
      </w:r>
      <w:r>
        <w:rPr>
          <w:rFonts w:hint="default" w:ascii="方正仿宋_GB2312" w:hAnsi="方正仿宋_GB2312" w:eastAsia="方正仿宋_GB2312" w:cs="方正仿宋_GB2312"/>
          <w:sz w:val="21"/>
          <w:szCs w:val="21"/>
          <w:lang w:val="en-US" w:eastAsia="zh-CN"/>
        </w:rPr>
        <w:t>3</w:t>
      </w:r>
      <w:r>
        <w:rPr>
          <w:rFonts w:hint="eastAsia" w:ascii="方正仿宋_GB2312" w:hAnsi="方正仿宋_GB2312" w:eastAsia="方正仿宋_GB2312" w:cs="方正仿宋_GB2312"/>
          <w:sz w:val="21"/>
          <w:szCs w:val="21"/>
          <w:lang w:val="en-US" w:eastAsia="zh-CN"/>
        </w:rPr>
        <w:t>）：占总样本的81.</w:t>
      </w:r>
      <w:r>
        <w:rPr>
          <w:rFonts w:hint="default" w:ascii="方正仿宋_GB2312" w:hAnsi="方正仿宋_GB2312" w:eastAsia="方正仿宋_GB2312" w:cs="方正仿宋_GB2312"/>
          <w:sz w:val="21"/>
          <w:szCs w:val="21"/>
          <w:lang w:val="en-US" w:eastAsia="zh-CN"/>
        </w:rPr>
        <w:t>667</w:t>
      </w:r>
      <w:r>
        <w:rPr>
          <w:rFonts w:hint="eastAsia" w:ascii="方正仿宋_GB2312" w:hAnsi="方正仿宋_GB2312" w:eastAsia="方正仿宋_GB2312" w:cs="方正仿宋_GB2312"/>
          <w:sz w:val="21"/>
          <w:szCs w:val="21"/>
          <w:lang w:val="en-US" w:eastAsia="zh-CN"/>
        </w:rPr>
        <w:t>%，组间效应显著为正（p &lt; .05），实验组后测得分显著高于对照组，提升幅度为0.05</w:t>
      </w:r>
      <w:r>
        <w:rPr>
          <w:rFonts w:hint="default" w:ascii="方正仿宋_GB2312" w:hAnsi="方正仿宋_GB2312" w:eastAsia="方正仿宋_GB2312" w:cs="方正仿宋_GB2312"/>
          <w:sz w:val="21"/>
          <w:szCs w:val="21"/>
          <w:lang w:val="en-US" w:eastAsia="zh-CN"/>
        </w:rPr>
        <w:t>4</w:t>
      </w:r>
      <w:r>
        <w:rPr>
          <w:rFonts w:hint="eastAsia" w:ascii="方正仿宋_GB2312" w:hAnsi="方正仿宋_GB2312" w:eastAsia="方正仿宋_GB2312" w:cs="方正仿宋_GB2312"/>
          <w:sz w:val="21"/>
          <w:szCs w:val="21"/>
          <w:lang w:val="en-US" w:eastAsia="zh-CN"/>
        </w:rPr>
        <w:t>~3.1</w:t>
      </w:r>
      <w:r>
        <w:rPr>
          <w:rFonts w:hint="default" w:ascii="方正仿宋_GB2312" w:hAnsi="方正仿宋_GB2312" w:eastAsia="方正仿宋_GB2312" w:cs="方正仿宋_GB2312"/>
          <w:sz w:val="21"/>
          <w:szCs w:val="21"/>
          <w:lang w:val="en-US" w:eastAsia="zh-CN"/>
        </w:rPr>
        <w:t>49</w:t>
      </w:r>
      <w:r>
        <w:rPr>
          <w:rFonts w:hint="eastAsia" w:ascii="方正仿宋_GB2312" w:hAnsi="方正仿宋_GB2312" w:eastAsia="方正仿宋_GB2312" w:cs="方正仿宋_GB2312"/>
          <w:sz w:val="21"/>
          <w:szCs w:val="21"/>
          <w:lang w:val="en-US" w:eastAsia="zh-CN"/>
        </w:rPr>
        <w:t>分，前测基础越差提升效果越明显；过渡无差异区间（原始前测8.</w:t>
      </w:r>
      <w:r>
        <w:rPr>
          <w:rFonts w:hint="default" w:ascii="方正仿宋_GB2312" w:hAnsi="方正仿宋_GB2312" w:eastAsia="方正仿宋_GB2312" w:cs="方正仿宋_GB2312"/>
          <w:sz w:val="21"/>
          <w:szCs w:val="21"/>
          <w:lang w:val="en-US" w:eastAsia="zh-CN"/>
        </w:rPr>
        <w:t>223</w:t>
      </w:r>
      <w:r>
        <w:rPr>
          <w:rFonts w:hint="eastAsia" w:ascii="方正仿宋_GB2312" w:hAnsi="方正仿宋_GB2312" w:eastAsia="方正仿宋_GB2312" w:cs="方正仿宋_GB2312"/>
          <w:sz w:val="21"/>
          <w:szCs w:val="21"/>
          <w:lang w:val="en-US" w:eastAsia="zh-CN"/>
        </w:rPr>
        <w:t>~8</w:t>
      </w:r>
      <w:r>
        <w:rPr>
          <w:rFonts w:hint="default" w:ascii="方正仿宋_GB2312" w:hAnsi="方正仿宋_GB2312" w:eastAsia="方正仿宋_GB2312" w:cs="方正仿宋_GB2312"/>
          <w:sz w:val="21"/>
          <w:szCs w:val="21"/>
          <w:lang w:val="en-US" w:eastAsia="zh-CN"/>
        </w:rPr>
        <w:t>.403</w:t>
      </w:r>
      <w:r>
        <w:rPr>
          <w:rFonts w:hint="eastAsia" w:ascii="方正仿宋_GB2312" w:hAnsi="方正仿宋_GB2312" w:eastAsia="方正仿宋_GB2312" w:cs="方正仿宋_GB2312"/>
          <w:sz w:val="21"/>
          <w:szCs w:val="21"/>
          <w:lang w:val="en-US" w:eastAsia="zh-CN"/>
        </w:rPr>
        <w:t>分，对应Pre_MC在[1.91</w:t>
      </w:r>
      <w:r>
        <w:rPr>
          <w:rFonts w:hint="default" w:ascii="方正仿宋_GB2312" w:hAnsi="方正仿宋_GB2312" w:eastAsia="方正仿宋_GB2312" w:cs="方正仿宋_GB2312"/>
          <w:sz w:val="21"/>
          <w:szCs w:val="21"/>
          <w:lang w:val="en-US" w:eastAsia="zh-CN"/>
        </w:rPr>
        <w:t>3</w:t>
      </w:r>
      <w:r>
        <w:rPr>
          <w:rFonts w:hint="eastAsia" w:ascii="方正仿宋_GB2312" w:hAnsi="方正仿宋_GB2312" w:eastAsia="方正仿宋_GB2312" w:cs="方正仿宋_GB2312"/>
          <w:sz w:val="21"/>
          <w:szCs w:val="21"/>
          <w:lang w:val="en-US" w:eastAsia="zh-CN"/>
        </w:rPr>
        <w:t>, 2.09</w:t>
      </w:r>
      <w:r>
        <w:rPr>
          <w:rFonts w:hint="default" w:ascii="方正仿宋_GB2312" w:hAnsi="方正仿宋_GB2312" w:eastAsia="方正仿宋_GB2312" w:cs="方正仿宋_GB2312"/>
          <w:sz w:val="21"/>
          <w:szCs w:val="21"/>
          <w:lang w:val="en-US" w:eastAsia="zh-CN"/>
        </w:rPr>
        <w:t>3</w:t>
      </w:r>
      <w:r>
        <w:rPr>
          <w:rFonts w:hint="eastAsia" w:ascii="方正仿宋_GB2312" w:hAnsi="方正仿宋_GB2312" w:eastAsia="方正仿宋_GB2312" w:cs="方正仿宋_GB2312"/>
          <w:sz w:val="21"/>
          <w:szCs w:val="21"/>
          <w:lang w:val="en-US" w:eastAsia="zh-CN"/>
        </w:rPr>
        <w:t>]区间内）：仅占总样本的1.</w:t>
      </w:r>
      <w:r>
        <w:rPr>
          <w:rFonts w:hint="default" w:ascii="方正仿宋_GB2312" w:hAnsi="方正仿宋_GB2312" w:eastAsia="方正仿宋_GB2312" w:cs="方正仿宋_GB2312"/>
          <w:sz w:val="21"/>
          <w:szCs w:val="21"/>
          <w:lang w:val="en-US" w:eastAsia="zh-CN"/>
        </w:rPr>
        <w:t>666</w:t>
      </w:r>
      <w:r>
        <w:rPr>
          <w:rFonts w:hint="eastAsia" w:ascii="方正仿宋_GB2312" w:hAnsi="方正仿宋_GB2312" w:eastAsia="方正仿宋_GB2312" w:cs="方正仿宋_GB2312"/>
          <w:sz w:val="21"/>
          <w:szCs w:val="21"/>
          <w:lang w:val="en-US" w:eastAsia="zh-CN"/>
        </w:rPr>
        <w:t>%，组间效应无统计学显著性（p ≥ .05），两种教学法效果无差异；基础极优学生段（原始前测&gt;8.</w:t>
      </w:r>
      <w:r>
        <w:rPr>
          <w:rFonts w:hint="default" w:ascii="方正仿宋_GB2312" w:hAnsi="方正仿宋_GB2312" w:eastAsia="方正仿宋_GB2312" w:cs="方正仿宋_GB2312"/>
          <w:sz w:val="21"/>
          <w:szCs w:val="21"/>
          <w:lang w:val="en-US" w:eastAsia="zh-CN"/>
        </w:rPr>
        <w:t>403</w:t>
      </w:r>
      <w:r>
        <w:rPr>
          <w:rFonts w:hint="eastAsia" w:ascii="方正仿宋_GB2312" w:hAnsi="方正仿宋_GB2312" w:eastAsia="方正仿宋_GB2312" w:cs="方正仿宋_GB2312"/>
          <w:sz w:val="21"/>
          <w:szCs w:val="21"/>
          <w:lang w:val="en-US" w:eastAsia="zh-CN"/>
        </w:rPr>
        <w:t>分，对应Pre_MC&gt;2.09</w:t>
      </w:r>
      <w:r>
        <w:rPr>
          <w:rFonts w:hint="default" w:ascii="方正仿宋_GB2312" w:hAnsi="方正仿宋_GB2312" w:eastAsia="方正仿宋_GB2312" w:cs="方正仿宋_GB2312"/>
          <w:sz w:val="21"/>
          <w:szCs w:val="21"/>
          <w:lang w:val="en-US" w:eastAsia="zh-CN"/>
        </w:rPr>
        <w:t>3</w:t>
      </w:r>
      <w:r>
        <w:rPr>
          <w:rFonts w:hint="eastAsia" w:ascii="方正仿宋_GB2312" w:hAnsi="方正仿宋_GB2312" w:eastAsia="方正仿宋_GB2312" w:cs="方正仿宋_GB2312"/>
          <w:sz w:val="21"/>
          <w:szCs w:val="21"/>
          <w:lang w:val="en-US" w:eastAsia="zh-CN"/>
        </w:rPr>
        <w:t>）：占总样本的16.6</w:t>
      </w:r>
      <w:r>
        <w:rPr>
          <w:rFonts w:hint="default" w:ascii="方正仿宋_GB2312" w:hAnsi="方正仿宋_GB2312" w:eastAsia="方正仿宋_GB2312" w:cs="方正仿宋_GB2312"/>
          <w:sz w:val="21"/>
          <w:szCs w:val="21"/>
          <w:lang w:val="en-US" w:eastAsia="zh-CN"/>
        </w:rPr>
        <w:t>67</w:t>
      </w:r>
      <w:r>
        <w:rPr>
          <w:rFonts w:hint="eastAsia" w:ascii="方正仿宋_GB2312" w:hAnsi="方正仿宋_GB2312" w:eastAsia="方正仿宋_GB2312" w:cs="方正仿宋_GB2312"/>
          <w:sz w:val="21"/>
          <w:szCs w:val="21"/>
          <w:lang w:val="en-US" w:eastAsia="zh-CN"/>
        </w:rPr>
        <w:t>%，组间效应显著为负（p &lt; .05），对照组后测得分显著高于实验组，差值为0.0</w:t>
      </w:r>
      <w:r>
        <w:rPr>
          <w:rFonts w:hint="default" w:ascii="方正仿宋_GB2312" w:hAnsi="方正仿宋_GB2312" w:eastAsia="方正仿宋_GB2312" w:cs="方正仿宋_GB2312"/>
          <w:sz w:val="21"/>
          <w:szCs w:val="21"/>
          <w:lang w:val="en-US" w:eastAsia="zh-CN"/>
        </w:rPr>
        <w:t>57</w:t>
      </w:r>
      <w:r>
        <w:rPr>
          <w:rFonts w:hint="eastAsia" w:ascii="方正仿宋_GB2312" w:hAnsi="方正仿宋_GB2312" w:eastAsia="方正仿宋_GB2312" w:cs="方正仿宋_GB2312"/>
          <w:sz w:val="21"/>
          <w:szCs w:val="21"/>
          <w:lang w:val="en-US" w:eastAsia="zh-CN"/>
        </w:rPr>
        <w:t>~0.55</w:t>
      </w:r>
      <w:r>
        <w:rPr>
          <w:rFonts w:hint="default" w:ascii="方正仿宋_GB2312" w:hAnsi="方正仿宋_GB2312" w:eastAsia="方正仿宋_GB2312" w:cs="方正仿宋_GB2312"/>
          <w:sz w:val="21"/>
          <w:szCs w:val="21"/>
          <w:lang w:val="en-US" w:eastAsia="zh-CN"/>
        </w:rPr>
        <w:t>0</w:t>
      </w:r>
      <w:r>
        <w:rPr>
          <w:rFonts w:hint="eastAsia" w:ascii="方正仿宋_GB2312" w:hAnsi="方正仿宋_GB2312" w:eastAsia="方正仿宋_GB2312" w:cs="方正仿宋_GB2312"/>
          <w:sz w:val="21"/>
          <w:szCs w:val="21"/>
          <w:lang w:val="en-US" w:eastAsia="zh-CN"/>
        </w:rPr>
        <w:t>分，对于前测基础极好的学生，对照组效果更优。</w:t>
      </w:r>
    </w:p>
    <w:p w14:paraId="537176BF">
      <w:pPr>
        <w:keepNext w:val="0"/>
        <w:keepLines w:val="0"/>
        <w:pageBreakBefore w:val="0"/>
        <w:widowControl w:val="0"/>
        <w:kinsoku/>
        <w:wordWrap/>
        <w:overflowPunct/>
        <w:topLinePunct w:val="0"/>
        <w:autoSpaceDE/>
        <w:autoSpaceDN/>
        <w:bidi w:val="0"/>
        <w:adjustRightInd/>
        <w:snapToGrid/>
        <w:spacing w:line="360" w:lineRule="auto"/>
        <w:ind w:firstLine="420" w:firstLineChars="200"/>
        <w:textAlignment w:val="auto"/>
        <w:rPr>
          <w:rFonts w:hint="default" w:ascii="方正仿宋_GB2312" w:hAnsi="方正仿宋_GB2312" w:eastAsia="方正仿宋_GB2312" w:cs="方正仿宋_GB2312"/>
          <w:sz w:val="21"/>
          <w:szCs w:val="21"/>
          <w:lang w:val="en-US" w:eastAsia="zh-CN"/>
        </w:rPr>
      </w:pP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00"/>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汉仪书宋二KW">
    <w:panose1 w:val="00020600040101010101"/>
    <w:charset w:val="86"/>
    <w:family w:val="auto"/>
    <w:pitch w:val="default"/>
    <w:sig w:usb0="A00002BF" w:usb1="18EF7CFA" w:usb2="00000016" w:usb3="00000000" w:csb0="00040000" w:csb1="00000000"/>
  </w:font>
  <w:font w:name="Helvetica Neue">
    <w:panose1 w:val="02000503000000020004"/>
    <w:charset w:val="00"/>
    <w:family w:val="auto"/>
    <w:pitch w:val="default"/>
    <w:sig w:usb0="E50002FF" w:usb1="500079DB" w:usb2="00000010" w:usb3="00000000" w:csb0="00000000" w:csb1="00000000"/>
  </w:font>
  <w:font w:name="方正小标宋简体">
    <w:panose1 w:val="02000000000000000000"/>
    <w:charset w:val="86"/>
    <w:family w:val="auto"/>
    <w:pitch w:val="default"/>
    <w:sig w:usb0="00000001" w:usb1="08000000" w:usb2="00000000" w:usb3="00000000" w:csb0="00040000" w:csb1="00000000"/>
  </w:font>
  <w:font w:name="方正仿宋_GB2312">
    <w:panose1 w:val="02000000000000000000"/>
    <w:charset w:val="86"/>
    <w:family w:val="auto"/>
    <w:pitch w:val="default"/>
    <w:sig w:usb0="A00002BF" w:usb1="184F6CFA" w:usb2="00000012" w:usb3="00000000" w:csb0="00040001" w:csb1="00000000"/>
  </w:font>
  <w:font w:name="宋体-简">
    <w:panose1 w:val="02010800040101010101"/>
    <w:charset w:val="86"/>
    <w:family w:val="auto"/>
    <w:pitch w:val="default"/>
    <w:sig w:usb0="00000001" w:usb1="080F0000" w:usb2="00000000" w:usb3="00000000" w:csb0="00040000" w:csb1="00000000"/>
  </w:font>
  <w:font w:name="汉仪中黑KW">
    <w:panose1 w:val="00020600040101010101"/>
    <w:charset w:val="86"/>
    <w:family w:val="auto"/>
    <w:pitch w:val="default"/>
    <w:sig w:usb0="A00002BF" w:usb1="18EF7CFA" w:usb2="00000016" w:usb3="00000000" w:csb0="00040000" w:csb1="00000000"/>
  </w:font>
  <w:font w:name="Kingsoft Sign">
    <w:panose1 w:val="05050102010706020507"/>
    <w:charset w:val="00"/>
    <w:family w:val="auto"/>
    <w:pitch w:val="default"/>
    <w:sig w:usb0="00000000" w:usb1="10000000" w:usb2="00000000" w:usb3="00000000" w:csb0="0000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9"/>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77F794E9"/>
    <w:rsid w:val="77F794E9"/>
    <w:rsid w:val="9BFC57E1"/>
    <w:rsid w:val="A7DB7EC4"/>
    <w:rsid w:val="B6C514FB"/>
    <w:rsid w:val="BBDE9AC0"/>
    <w:rsid w:val="BFB082B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character" w:default="1" w:styleId="3">
    <w:name w:val="Default Paragraph Font"/>
    <w:semiHidden/>
    <w:uiPriority w:val="0"/>
  </w:style>
  <w:style w:type="table" w:default="1" w:styleId="2">
    <w:name w:val="Normal Table"/>
    <w:semiHidden/>
    <w:uiPriority w:val="0"/>
    <w:tblPr>
      <w:tblCellMar>
        <w:top w:w="0" w:type="dxa"/>
        <w:left w:w="108" w:type="dxa"/>
        <w:bottom w:w="0" w:type="dxa"/>
        <w:right w:w="108" w:type="dxa"/>
      </w:tblCellMar>
    </w:tbl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3</Pages>
  <Words>1235</Words>
  <Characters>2630</Characters>
  <Lines>0</Lines>
  <Paragraphs>0</Paragraphs>
  <TotalTime>133</TotalTime>
  <ScaleCrop>false</ScaleCrop>
  <LinksUpToDate>false</LinksUpToDate>
  <CharactersWithSpaces>2805</CharactersWithSpaces>
  <Application>WPS Office_12.1.26016.26016_F1E327BC-269C-435d-A152-05C5408002CA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2026-06-20T11:44:00Z</dcterms:created>
  <dc:creator>王宁</dc:creator>
  <cp:lastModifiedBy>王宁</cp:lastModifiedBy>
  <dcterms:modified xsi:type="dcterms:W3CDTF">2026-06-20T11:06:50Z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2052-12.1.26016.26016</vt:lpwstr>
  </property>
  <property fmtid="{D5CDD505-2E9C-101B-9397-08002B2CF9AE}" pid="3" name="ICV">
    <vt:lpwstr>4F604780EFA4CA2711BB346AD44C3896_41</vt:lpwstr>
  </property>
</Properties>
</file>