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EC1B2">
      <w:pPr>
        <w:jc w:val="center"/>
        <w:rPr>
          <w:rFonts w:hint="eastAsia" w:ascii="方正小标宋简体" w:hAnsi="方正小标宋简体" w:eastAsia="方正小标宋简体" w:cs="方正小标宋简体"/>
          <w:sz w:val="30"/>
          <w:szCs w:val="30"/>
          <w:lang w:val="en-US" w:eastAsia="zh-CN"/>
        </w:rPr>
      </w:pPr>
      <w:r>
        <w:rPr>
          <w:rFonts w:hint="eastAsia" w:ascii="方正小标宋简体" w:hAnsi="方正小标宋简体" w:eastAsia="方正小标宋简体" w:cs="方正小标宋简体"/>
          <w:sz w:val="30"/>
          <w:szCs w:val="30"/>
          <w:lang w:val="en-US" w:eastAsia="zh-CN"/>
        </w:rPr>
        <w:t>斜方差案例分析（斜率不齐）</w:t>
      </w:r>
    </w:p>
    <w:p w14:paraId="6FF4A567">
      <w:pPr>
        <w:rPr>
          <w:rFonts w:hint="eastAsia" w:ascii="方正仿宋_GB2312" w:hAnsi="方正仿宋_GB2312" w:eastAsia="方正仿宋_GB2312" w:cs="方正仿宋_GB2312"/>
          <w:sz w:val="21"/>
          <w:szCs w:val="21"/>
          <w:lang w:val="en-US" w:eastAsia="zh-CN"/>
        </w:rPr>
      </w:pPr>
    </w:p>
    <w:p w14:paraId="425385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1. 回归斜率齐性检验</w:t>
      </w:r>
    </w:p>
    <w:p w14:paraId="45B5403C">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bCs/>
          <w:i w:val="0"/>
          <w:iCs w:val="0"/>
          <w:sz w:val="18"/>
          <w:szCs w:val="18"/>
          <w:lang w:val="en-US" w:eastAsia="zh-CN"/>
        </w:rPr>
      </w:pPr>
      <w:r>
        <w:rPr>
          <w:rFonts w:hint="eastAsia" w:ascii="宋体" w:hAnsi="宋体" w:eastAsia="宋体" w:cs="宋体"/>
          <w:b/>
          <w:bCs/>
          <w:i w:val="0"/>
          <w:iCs w:val="0"/>
          <w:sz w:val="18"/>
          <w:szCs w:val="18"/>
          <w:lang w:val="en-US" w:eastAsia="zh-CN"/>
        </w:rPr>
        <w:t>Table</w:t>
      </w:r>
      <w:r>
        <w:rPr>
          <w:rFonts w:hint="default" w:ascii="宋体" w:hAnsi="宋体" w:eastAsia="宋体" w:cs="宋体"/>
          <w:b/>
          <w:bCs/>
          <w:i w:val="0"/>
          <w:iCs w:val="0"/>
          <w:sz w:val="18"/>
          <w:szCs w:val="18"/>
          <w:lang w:val="en-US" w:eastAsia="zh-CN"/>
        </w:rPr>
        <w:t xml:space="preserve"> </w:t>
      </w:r>
      <w:r>
        <w:rPr>
          <w:rFonts w:hint="eastAsia" w:ascii="宋体" w:hAnsi="宋体" w:eastAsia="宋体" w:cs="宋体"/>
          <w:b/>
          <w:bCs/>
          <w:i w:val="0"/>
          <w:iCs w:val="0"/>
          <w:sz w:val="18"/>
          <w:szCs w:val="18"/>
          <w:lang w:val="en-US" w:eastAsia="zh-CN"/>
        </w:rPr>
        <w:t xml:space="preserve">1 </w:t>
      </w:r>
    </w:p>
    <w:p w14:paraId="48FF51A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i/>
          <w:iCs/>
          <w:sz w:val="18"/>
          <w:szCs w:val="18"/>
          <w:lang w:val="en-US" w:eastAsia="zh-CN"/>
        </w:rPr>
      </w:pPr>
      <w:r>
        <w:rPr>
          <w:rFonts w:hint="eastAsia" w:ascii="宋体" w:hAnsi="宋体" w:eastAsia="宋体" w:cs="宋体"/>
          <w:i/>
          <w:iCs/>
          <w:sz w:val="18"/>
          <w:szCs w:val="18"/>
          <w:lang w:val="en-US" w:eastAsia="zh-CN"/>
        </w:rPr>
        <w:t xml:space="preserve">Result of Homogeneity of Regression Slopes for Analysis of Covariance </w:t>
      </w:r>
    </w:p>
    <w:p w14:paraId="6CB021A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i/>
          <w:iCs/>
          <w:sz w:val="18"/>
          <w:szCs w:val="18"/>
          <w:lang w:val="en-US" w:eastAsia="zh-CN"/>
        </w:rPr>
      </w:pPr>
      <w:r>
        <w:rPr>
          <w:rFonts w:hint="eastAsia" w:ascii="宋体" w:hAnsi="宋体" w:eastAsia="宋体" w:cs="宋体"/>
          <w:i/>
          <w:iCs/>
          <w:sz w:val="18"/>
          <w:szCs w:val="18"/>
          <w:lang w:val="en-US" w:eastAsia="zh-CN"/>
        </w:rPr>
        <w:t>Dependent Variable: Post, Type III Sum of Squares</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40"/>
        <w:gridCol w:w="1137"/>
        <w:gridCol w:w="1137"/>
        <w:gridCol w:w="1137"/>
        <w:gridCol w:w="1193"/>
        <w:gridCol w:w="1137"/>
        <w:gridCol w:w="1138"/>
      </w:tblGrid>
      <w:tr w14:paraId="257640ED">
        <w:trPr>
          <w:trHeight w:val="336" w:hRule="atLeast"/>
        </w:trPr>
        <w:tc>
          <w:tcPr>
            <w:tcW w:w="962" w:type="pct"/>
            <w:tcBorders>
              <w:top w:val="single" w:color="000000" w:sz="12" w:space="0"/>
              <w:left w:val="nil"/>
              <w:bottom w:val="single" w:color="000000" w:sz="4" w:space="0"/>
              <w:right w:val="nil"/>
              <w:tl2br w:val="nil"/>
            </w:tcBorders>
            <w:shd w:val="clear" w:color="auto" w:fill="FFFFFF"/>
            <w:noWrap/>
            <w:vAlign w:val="center"/>
          </w:tcPr>
          <w:p w14:paraId="0704D1D4">
            <w:pPr>
              <w:jc w:val="center"/>
              <w:rPr>
                <w:rFonts w:hint="eastAsia" w:ascii="宋体" w:hAnsi="宋体" w:eastAsia="宋体" w:cs="宋体"/>
                <w:b w:val="0"/>
                <w:i w:val="0"/>
                <w:iCs w:val="0"/>
                <w:color w:val="000000"/>
                <w:sz w:val="18"/>
                <w:szCs w:val="18"/>
                <w:u w:val="none"/>
              </w:rPr>
            </w:pPr>
          </w:p>
        </w:tc>
        <w:tc>
          <w:tcPr>
            <w:tcW w:w="667" w:type="pct"/>
            <w:tcBorders>
              <w:top w:val="single" w:color="000000" w:sz="12" w:space="0"/>
              <w:left w:val="nil"/>
              <w:bottom w:val="single" w:color="000000" w:sz="4" w:space="0"/>
              <w:right w:val="nil"/>
            </w:tcBorders>
            <w:shd w:val="clear" w:color="auto" w:fill="FFFFFF"/>
            <w:noWrap/>
            <w:vAlign w:val="center"/>
          </w:tcPr>
          <w:p w14:paraId="747CF86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SS</w:t>
            </w:r>
          </w:p>
        </w:tc>
        <w:tc>
          <w:tcPr>
            <w:tcW w:w="667" w:type="pct"/>
            <w:tcBorders>
              <w:top w:val="single" w:color="000000" w:sz="12" w:space="0"/>
              <w:left w:val="nil"/>
              <w:bottom w:val="single" w:color="000000" w:sz="4" w:space="0"/>
              <w:right w:val="nil"/>
            </w:tcBorders>
            <w:shd w:val="clear" w:color="auto" w:fill="FFFFFF"/>
            <w:noWrap/>
            <w:vAlign w:val="center"/>
          </w:tcPr>
          <w:p w14:paraId="6178809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df</w:t>
            </w:r>
          </w:p>
        </w:tc>
        <w:tc>
          <w:tcPr>
            <w:tcW w:w="667" w:type="pct"/>
            <w:tcBorders>
              <w:top w:val="single" w:color="000000" w:sz="12" w:space="0"/>
              <w:left w:val="nil"/>
              <w:bottom w:val="single" w:color="000000" w:sz="4" w:space="0"/>
              <w:right w:val="nil"/>
            </w:tcBorders>
            <w:shd w:val="clear" w:color="auto" w:fill="FFFFFF"/>
            <w:noWrap/>
            <w:vAlign w:val="center"/>
          </w:tcPr>
          <w:p w14:paraId="4F554763">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MS</w:t>
            </w:r>
          </w:p>
        </w:tc>
        <w:tc>
          <w:tcPr>
            <w:tcW w:w="700" w:type="pct"/>
            <w:tcBorders>
              <w:top w:val="single" w:color="000000" w:sz="12" w:space="0"/>
              <w:left w:val="nil"/>
              <w:bottom w:val="single" w:color="000000" w:sz="4" w:space="0"/>
              <w:right w:val="nil"/>
            </w:tcBorders>
            <w:shd w:val="clear" w:color="auto" w:fill="FFFFFF"/>
            <w:noWrap/>
            <w:vAlign w:val="center"/>
          </w:tcPr>
          <w:p w14:paraId="0D0C029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F</w:t>
            </w:r>
          </w:p>
        </w:tc>
        <w:tc>
          <w:tcPr>
            <w:tcW w:w="667" w:type="pct"/>
            <w:tcBorders>
              <w:top w:val="single" w:color="000000" w:sz="12" w:space="0"/>
              <w:left w:val="nil"/>
              <w:bottom w:val="single" w:color="000000" w:sz="4" w:space="0"/>
              <w:right w:val="nil"/>
            </w:tcBorders>
            <w:shd w:val="clear" w:color="auto" w:fill="FFFFFF"/>
            <w:noWrap/>
            <w:vAlign w:val="center"/>
          </w:tcPr>
          <w:p w14:paraId="7575002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sz w:val="18"/>
                <w:szCs w:val="18"/>
                <w:u w:val="none"/>
                <w:lang w:val="en-US"/>
              </w:rPr>
              <w:t>p</w:t>
            </w:r>
          </w:p>
        </w:tc>
        <w:tc>
          <w:tcPr>
            <w:tcW w:w="667" w:type="pct"/>
            <w:tcBorders>
              <w:top w:val="single" w:color="000000" w:sz="12" w:space="0"/>
              <w:left w:val="nil"/>
              <w:bottom w:val="single" w:color="000000" w:sz="4" w:space="0"/>
              <w:right w:val="nil"/>
            </w:tcBorders>
            <w:shd w:val="clear" w:color="auto" w:fill="FFFFFF"/>
            <w:noWrap/>
            <w:vAlign w:val="center"/>
          </w:tcPr>
          <w:p w14:paraId="7AB00A57">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sz w:val="18"/>
                <w:szCs w:val="18"/>
                <w:u w:val="none"/>
                <w:lang w:val="en-US"/>
              </w:rPr>
              <w:t>P-Eta-S</w:t>
            </w:r>
          </w:p>
        </w:tc>
      </w:tr>
      <w:tr w14:paraId="3FCC0AE5">
        <w:trPr>
          <w:trHeight w:val="336" w:hRule="atLeast"/>
        </w:trPr>
        <w:tc>
          <w:tcPr>
            <w:tcW w:w="962" w:type="pct"/>
            <w:tcBorders>
              <w:top w:val="single" w:color="000000" w:sz="4" w:space="0"/>
              <w:left w:val="nil"/>
              <w:bottom w:val="nil"/>
              <w:right w:val="nil"/>
            </w:tcBorders>
            <w:shd w:val="clear" w:color="auto" w:fill="FFFFFF"/>
            <w:noWrap/>
            <w:vAlign w:val="center"/>
          </w:tcPr>
          <w:p w14:paraId="69C58CAE">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Corrected Model</w:t>
            </w:r>
          </w:p>
        </w:tc>
        <w:tc>
          <w:tcPr>
            <w:tcW w:w="667" w:type="pct"/>
            <w:tcBorders>
              <w:top w:val="single" w:color="000000" w:sz="4" w:space="0"/>
              <w:left w:val="nil"/>
              <w:bottom w:val="nil"/>
              <w:right w:val="nil"/>
            </w:tcBorders>
            <w:shd w:val="clear" w:color="auto" w:fill="FFFFFF"/>
            <w:noWrap/>
            <w:vAlign w:val="center"/>
          </w:tcPr>
          <w:p w14:paraId="7DDB7AB3">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96.823</w:t>
            </w:r>
          </w:p>
        </w:tc>
        <w:tc>
          <w:tcPr>
            <w:tcW w:w="667" w:type="pct"/>
            <w:tcBorders>
              <w:top w:val="single" w:color="000000" w:sz="4" w:space="0"/>
              <w:left w:val="nil"/>
              <w:bottom w:val="nil"/>
              <w:right w:val="nil"/>
            </w:tcBorders>
            <w:shd w:val="clear" w:color="auto" w:fill="FFFFFF"/>
            <w:noWrap/>
            <w:vAlign w:val="center"/>
          </w:tcPr>
          <w:p w14:paraId="21F205D3">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3</w:t>
            </w:r>
          </w:p>
        </w:tc>
        <w:tc>
          <w:tcPr>
            <w:tcW w:w="667" w:type="pct"/>
            <w:tcBorders>
              <w:top w:val="single" w:color="000000" w:sz="4" w:space="0"/>
              <w:left w:val="nil"/>
              <w:bottom w:val="nil"/>
              <w:right w:val="nil"/>
            </w:tcBorders>
            <w:shd w:val="clear" w:color="auto" w:fill="FFFFFF"/>
            <w:noWrap/>
            <w:vAlign w:val="center"/>
          </w:tcPr>
          <w:p w14:paraId="5AB6A7E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32.274</w:t>
            </w:r>
          </w:p>
        </w:tc>
        <w:tc>
          <w:tcPr>
            <w:tcW w:w="700" w:type="pct"/>
            <w:tcBorders>
              <w:top w:val="single" w:color="000000" w:sz="4" w:space="0"/>
              <w:left w:val="nil"/>
              <w:bottom w:val="nil"/>
              <w:right w:val="nil"/>
            </w:tcBorders>
            <w:shd w:val="clear" w:color="auto" w:fill="FFFFFF"/>
            <w:noWrap/>
            <w:vAlign w:val="center"/>
          </w:tcPr>
          <w:p w14:paraId="5780A566">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6627.059</w:t>
            </w:r>
          </w:p>
        </w:tc>
        <w:tc>
          <w:tcPr>
            <w:tcW w:w="667" w:type="pct"/>
            <w:tcBorders>
              <w:top w:val="single" w:color="000000" w:sz="4" w:space="0"/>
              <w:left w:val="nil"/>
              <w:bottom w:val="nil"/>
              <w:right w:val="nil"/>
            </w:tcBorders>
            <w:shd w:val="clear" w:color="auto" w:fill="FFFFFF"/>
            <w:noWrap/>
            <w:vAlign w:val="center"/>
          </w:tcPr>
          <w:p w14:paraId="54981D0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&lt;.001</w:t>
            </w:r>
          </w:p>
        </w:tc>
        <w:tc>
          <w:tcPr>
            <w:tcW w:w="667" w:type="pct"/>
            <w:tcBorders>
              <w:top w:val="single" w:color="000000" w:sz="4" w:space="0"/>
              <w:left w:val="nil"/>
              <w:bottom w:val="nil"/>
              <w:right w:val="nil"/>
            </w:tcBorders>
            <w:shd w:val="clear" w:color="auto" w:fill="FFFFFF"/>
            <w:noWrap/>
            <w:vAlign w:val="center"/>
          </w:tcPr>
          <w:p w14:paraId="5EFF331D">
            <w:pPr>
              <w:keepNext w:val="0"/>
              <w:keepLines w:val="0"/>
              <w:widowControl/>
              <w:suppressLineNumbers w:val="0"/>
              <w:jc w:val="center"/>
              <w:textAlignment w:val="center"/>
              <w:rPr>
                <w:rFonts w:hint="eastAsia" w:ascii="宋体" w:hAnsi="宋体" w:eastAsia="宋体" w:cs="宋体"/>
                <w:b w:val="0"/>
                <w:i w:val="0"/>
                <w:iCs w:val="0"/>
                <w:color w:val="000000"/>
                <w:kern w:val="0"/>
                <w:sz w:val="18"/>
                <w:szCs w:val="18"/>
                <w:u w:val="none"/>
                <w:bdr w:val="none" w:color="auto" w:sz="0" w:space="0"/>
                <w:lang w:val="en-US" w:eastAsia="zh-CN" w:bidi="ar"/>
              </w:rPr>
            </w:pPr>
            <w:r>
              <w:rPr>
                <w:rFonts w:hint="eastAsia" w:ascii="宋体" w:hAnsi="宋体" w:eastAsia="宋体" w:cs="宋体"/>
                <w:b w:val="0"/>
                <w:i w:val="0"/>
                <w:iCs w:val="0"/>
                <w:color w:val="000000"/>
                <w:kern w:val="0"/>
                <w:sz w:val="18"/>
                <w:szCs w:val="18"/>
                <w:u w:val="none"/>
                <w:bdr w:val="none" w:color="auto" w:sz="0" w:space="0"/>
                <w:lang w:val="en-US" w:eastAsia="zh-CN" w:bidi="ar"/>
              </w:rPr>
              <w:t>0.997</w:t>
            </w:r>
          </w:p>
        </w:tc>
      </w:tr>
      <w:tr w14:paraId="0A2406C1">
        <w:trPr>
          <w:trHeight w:val="336" w:hRule="atLeast"/>
        </w:trPr>
        <w:tc>
          <w:tcPr>
            <w:tcW w:w="962" w:type="pct"/>
            <w:tcBorders>
              <w:top w:val="nil"/>
              <w:left w:val="nil"/>
              <w:bottom w:val="nil"/>
              <w:right w:val="nil"/>
            </w:tcBorders>
            <w:shd w:val="clear" w:color="auto" w:fill="FFFFFF"/>
            <w:noWrap/>
            <w:vAlign w:val="center"/>
          </w:tcPr>
          <w:p w14:paraId="1F92FB3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Group * Pre</w:t>
            </w:r>
          </w:p>
        </w:tc>
        <w:tc>
          <w:tcPr>
            <w:tcW w:w="667" w:type="pct"/>
            <w:tcBorders>
              <w:top w:val="nil"/>
              <w:left w:val="nil"/>
              <w:bottom w:val="nil"/>
              <w:right w:val="nil"/>
            </w:tcBorders>
            <w:shd w:val="clear" w:color="auto" w:fill="FFFFFF"/>
            <w:noWrap/>
            <w:vAlign w:val="center"/>
          </w:tcPr>
          <w:p w14:paraId="7B27097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16.897</w:t>
            </w:r>
          </w:p>
        </w:tc>
        <w:tc>
          <w:tcPr>
            <w:tcW w:w="667" w:type="pct"/>
            <w:tcBorders>
              <w:top w:val="nil"/>
              <w:left w:val="nil"/>
              <w:bottom w:val="nil"/>
              <w:right w:val="nil"/>
            </w:tcBorders>
            <w:shd w:val="clear" w:color="auto" w:fill="FFFFFF"/>
            <w:noWrap/>
            <w:vAlign w:val="center"/>
          </w:tcPr>
          <w:p w14:paraId="1DEFD6D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w:t>
            </w:r>
          </w:p>
        </w:tc>
        <w:tc>
          <w:tcPr>
            <w:tcW w:w="667" w:type="pct"/>
            <w:tcBorders>
              <w:top w:val="nil"/>
              <w:left w:val="nil"/>
              <w:bottom w:val="nil"/>
              <w:right w:val="nil"/>
            </w:tcBorders>
            <w:shd w:val="clear" w:color="auto" w:fill="FFFFFF"/>
            <w:noWrap/>
            <w:vAlign w:val="center"/>
          </w:tcPr>
          <w:p w14:paraId="5166DCE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16.897</w:t>
            </w:r>
          </w:p>
        </w:tc>
        <w:tc>
          <w:tcPr>
            <w:tcW w:w="700" w:type="pct"/>
            <w:tcBorders>
              <w:top w:val="nil"/>
              <w:left w:val="nil"/>
              <w:bottom w:val="nil"/>
              <w:right w:val="nil"/>
            </w:tcBorders>
            <w:shd w:val="clear" w:color="auto" w:fill="FFFFFF"/>
            <w:noWrap/>
            <w:vAlign w:val="center"/>
          </w:tcPr>
          <w:p w14:paraId="31C88DF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3469.539</w:t>
            </w:r>
          </w:p>
        </w:tc>
        <w:tc>
          <w:tcPr>
            <w:tcW w:w="667" w:type="pct"/>
            <w:tcBorders>
              <w:top w:val="nil"/>
              <w:left w:val="nil"/>
              <w:bottom w:val="nil"/>
              <w:right w:val="nil"/>
            </w:tcBorders>
            <w:shd w:val="clear" w:color="auto" w:fill="FFFFFF"/>
            <w:noWrap/>
            <w:vAlign w:val="center"/>
          </w:tcPr>
          <w:p w14:paraId="059039E3">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&lt;.001</w:t>
            </w:r>
          </w:p>
        </w:tc>
        <w:tc>
          <w:tcPr>
            <w:tcW w:w="667" w:type="pct"/>
            <w:tcBorders>
              <w:top w:val="nil"/>
              <w:left w:val="nil"/>
              <w:bottom w:val="nil"/>
              <w:right w:val="nil"/>
            </w:tcBorders>
            <w:shd w:val="clear" w:color="auto" w:fill="FFFFFF"/>
            <w:noWrap/>
            <w:vAlign w:val="center"/>
          </w:tcPr>
          <w:p w14:paraId="1199F7F5">
            <w:pPr>
              <w:keepNext w:val="0"/>
              <w:keepLines w:val="0"/>
              <w:widowControl/>
              <w:suppressLineNumbers w:val="0"/>
              <w:jc w:val="center"/>
              <w:textAlignment w:val="center"/>
              <w:rPr>
                <w:rFonts w:hint="eastAsia" w:ascii="宋体" w:hAnsi="宋体" w:eastAsia="宋体" w:cs="宋体"/>
                <w:b w:val="0"/>
                <w:i w:val="0"/>
                <w:iCs w:val="0"/>
                <w:color w:val="000000"/>
                <w:kern w:val="0"/>
                <w:sz w:val="18"/>
                <w:szCs w:val="18"/>
                <w:u w:val="none"/>
                <w:bdr w:val="none" w:color="auto" w:sz="0" w:space="0"/>
                <w:lang w:val="en-US" w:eastAsia="zh-CN" w:bidi="ar"/>
              </w:rPr>
            </w:pPr>
            <w:r>
              <w:rPr>
                <w:rFonts w:hint="eastAsia" w:ascii="宋体" w:hAnsi="宋体" w:eastAsia="宋体" w:cs="宋体"/>
                <w:b w:val="0"/>
                <w:i w:val="0"/>
                <w:iCs w:val="0"/>
                <w:color w:val="000000"/>
                <w:kern w:val="0"/>
                <w:sz w:val="18"/>
                <w:szCs w:val="18"/>
                <w:u w:val="none"/>
                <w:bdr w:val="none" w:color="auto" w:sz="0" w:space="0"/>
                <w:lang w:val="en-US" w:eastAsia="zh-CN" w:bidi="ar"/>
              </w:rPr>
              <w:t>0.984</w:t>
            </w:r>
          </w:p>
        </w:tc>
      </w:tr>
      <w:tr w14:paraId="7255DC56">
        <w:trPr>
          <w:trHeight w:val="336" w:hRule="atLeast"/>
        </w:trPr>
        <w:tc>
          <w:tcPr>
            <w:tcW w:w="962" w:type="pct"/>
            <w:tcBorders>
              <w:top w:val="nil"/>
              <w:left w:val="nil"/>
              <w:bottom w:val="nil"/>
              <w:right w:val="nil"/>
            </w:tcBorders>
            <w:shd w:val="clear" w:color="auto" w:fill="FFFFFF"/>
            <w:noWrap/>
            <w:vAlign w:val="center"/>
          </w:tcPr>
          <w:p w14:paraId="353A321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Error</w:t>
            </w:r>
          </w:p>
        </w:tc>
        <w:tc>
          <w:tcPr>
            <w:tcW w:w="667" w:type="pct"/>
            <w:tcBorders>
              <w:top w:val="nil"/>
              <w:left w:val="nil"/>
              <w:bottom w:val="nil"/>
              <w:right w:val="nil"/>
            </w:tcBorders>
            <w:shd w:val="clear" w:color="auto" w:fill="FFFFFF"/>
            <w:noWrap/>
            <w:vAlign w:val="center"/>
          </w:tcPr>
          <w:p w14:paraId="5047742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0.273</w:t>
            </w:r>
          </w:p>
        </w:tc>
        <w:tc>
          <w:tcPr>
            <w:tcW w:w="667" w:type="pct"/>
            <w:tcBorders>
              <w:top w:val="nil"/>
              <w:left w:val="nil"/>
              <w:bottom w:val="nil"/>
              <w:right w:val="nil"/>
            </w:tcBorders>
            <w:shd w:val="clear" w:color="auto" w:fill="FFFFFF"/>
            <w:noWrap/>
            <w:vAlign w:val="center"/>
          </w:tcPr>
          <w:p w14:paraId="7307410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56</w:t>
            </w:r>
          </w:p>
        </w:tc>
        <w:tc>
          <w:tcPr>
            <w:tcW w:w="667" w:type="pct"/>
            <w:tcBorders>
              <w:top w:val="nil"/>
              <w:left w:val="nil"/>
              <w:bottom w:val="nil"/>
              <w:right w:val="nil"/>
            </w:tcBorders>
            <w:shd w:val="clear" w:color="auto" w:fill="FFFFFF"/>
            <w:noWrap/>
            <w:vAlign w:val="center"/>
          </w:tcPr>
          <w:p w14:paraId="4BC5B69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0.005</w:t>
            </w:r>
          </w:p>
        </w:tc>
        <w:tc>
          <w:tcPr>
            <w:tcW w:w="700" w:type="pct"/>
            <w:tcBorders>
              <w:top w:val="nil"/>
              <w:left w:val="nil"/>
              <w:bottom w:val="nil"/>
              <w:right w:val="nil"/>
            </w:tcBorders>
            <w:shd w:val="clear" w:color="auto" w:fill="FFFFFF"/>
            <w:noWrap/>
            <w:vAlign w:val="center"/>
          </w:tcPr>
          <w:p w14:paraId="7A9BAE59">
            <w:pPr>
              <w:jc w:val="center"/>
              <w:rPr>
                <w:rFonts w:hint="eastAsia" w:ascii="宋体" w:hAnsi="宋体" w:eastAsia="宋体" w:cs="宋体"/>
                <w:b w:val="0"/>
                <w:i w:val="0"/>
                <w:iCs w:val="0"/>
                <w:color w:val="000000"/>
                <w:sz w:val="18"/>
                <w:szCs w:val="18"/>
                <w:u w:val="none"/>
              </w:rPr>
            </w:pPr>
          </w:p>
        </w:tc>
        <w:tc>
          <w:tcPr>
            <w:tcW w:w="667" w:type="pct"/>
            <w:tcBorders>
              <w:top w:val="nil"/>
              <w:left w:val="nil"/>
              <w:bottom w:val="nil"/>
              <w:right w:val="nil"/>
            </w:tcBorders>
            <w:shd w:val="clear" w:color="auto" w:fill="FFFFFF"/>
            <w:noWrap/>
            <w:vAlign w:val="center"/>
          </w:tcPr>
          <w:p w14:paraId="7B42990E">
            <w:pPr>
              <w:jc w:val="center"/>
              <w:rPr>
                <w:rFonts w:hint="eastAsia" w:ascii="宋体" w:hAnsi="宋体" w:eastAsia="宋体" w:cs="宋体"/>
                <w:b w:val="0"/>
                <w:i w:val="0"/>
                <w:iCs w:val="0"/>
                <w:color w:val="000000"/>
                <w:sz w:val="18"/>
                <w:szCs w:val="18"/>
                <w:u w:val="none"/>
              </w:rPr>
            </w:pPr>
          </w:p>
        </w:tc>
        <w:tc>
          <w:tcPr>
            <w:tcW w:w="667" w:type="pct"/>
            <w:tcBorders>
              <w:top w:val="nil"/>
              <w:left w:val="nil"/>
              <w:bottom w:val="nil"/>
              <w:right w:val="nil"/>
            </w:tcBorders>
            <w:shd w:val="clear" w:color="auto" w:fill="FFFFFF"/>
            <w:noWrap/>
            <w:vAlign w:val="center"/>
          </w:tcPr>
          <w:p w14:paraId="640E2176">
            <w:pPr>
              <w:jc w:val="center"/>
              <w:rPr>
                <w:rFonts w:hint="eastAsia" w:ascii="宋体" w:hAnsi="宋体" w:eastAsia="宋体" w:cs="宋体"/>
                <w:b w:val="0"/>
                <w:i w:val="0"/>
                <w:iCs w:val="0"/>
                <w:color w:val="000000"/>
                <w:sz w:val="18"/>
                <w:szCs w:val="18"/>
                <w:u w:val="none"/>
              </w:rPr>
            </w:pPr>
          </w:p>
        </w:tc>
      </w:tr>
      <w:tr w14:paraId="7C5AD43D">
        <w:trPr>
          <w:trHeight w:val="336" w:hRule="atLeast"/>
        </w:trPr>
        <w:tc>
          <w:tcPr>
            <w:tcW w:w="962" w:type="pct"/>
            <w:tcBorders>
              <w:top w:val="nil"/>
              <w:left w:val="nil"/>
              <w:bottom w:val="single" w:color="000000" w:sz="12" w:space="0"/>
              <w:right w:val="nil"/>
            </w:tcBorders>
            <w:shd w:val="clear" w:color="auto" w:fill="FFFFFF"/>
            <w:noWrap/>
            <w:vAlign w:val="center"/>
          </w:tcPr>
          <w:p w14:paraId="1F466EB7">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Total</w:t>
            </w:r>
          </w:p>
        </w:tc>
        <w:tc>
          <w:tcPr>
            <w:tcW w:w="667" w:type="pct"/>
            <w:tcBorders>
              <w:top w:val="nil"/>
              <w:left w:val="nil"/>
              <w:bottom w:val="single" w:color="000000" w:sz="12" w:space="0"/>
              <w:right w:val="nil"/>
            </w:tcBorders>
            <w:shd w:val="clear" w:color="auto" w:fill="FFFFFF"/>
            <w:noWrap/>
            <w:vAlign w:val="center"/>
          </w:tcPr>
          <w:p w14:paraId="4582360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3364.96</w:t>
            </w:r>
          </w:p>
        </w:tc>
        <w:tc>
          <w:tcPr>
            <w:tcW w:w="667" w:type="pct"/>
            <w:tcBorders>
              <w:top w:val="nil"/>
              <w:left w:val="nil"/>
              <w:bottom w:val="single" w:color="000000" w:sz="12" w:space="0"/>
              <w:right w:val="nil"/>
            </w:tcBorders>
            <w:shd w:val="clear" w:color="auto" w:fill="FFFFFF"/>
            <w:noWrap/>
            <w:vAlign w:val="center"/>
          </w:tcPr>
          <w:p w14:paraId="46E3689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60</w:t>
            </w:r>
          </w:p>
        </w:tc>
        <w:tc>
          <w:tcPr>
            <w:tcW w:w="667" w:type="pct"/>
            <w:tcBorders>
              <w:top w:val="nil"/>
              <w:left w:val="nil"/>
              <w:bottom w:val="single" w:color="000000" w:sz="12" w:space="0"/>
              <w:right w:val="nil"/>
            </w:tcBorders>
            <w:shd w:val="clear" w:color="auto" w:fill="FFFFFF"/>
            <w:noWrap/>
            <w:vAlign w:val="center"/>
          </w:tcPr>
          <w:p w14:paraId="353F57CC">
            <w:pPr>
              <w:jc w:val="center"/>
              <w:rPr>
                <w:rFonts w:hint="eastAsia" w:ascii="宋体" w:hAnsi="宋体" w:eastAsia="宋体" w:cs="宋体"/>
                <w:b w:val="0"/>
                <w:i w:val="0"/>
                <w:iCs w:val="0"/>
                <w:color w:val="000000"/>
                <w:sz w:val="18"/>
                <w:szCs w:val="18"/>
                <w:u w:val="none"/>
              </w:rPr>
            </w:pPr>
          </w:p>
        </w:tc>
        <w:tc>
          <w:tcPr>
            <w:tcW w:w="700" w:type="pct"/>
            <w:tcBorders>
              <w:top w:val="nil"/>
              <w:left w:val="nil"/>
              <w:bottom w:val="single" w:color="000000" w:sz="12" w:space="0"/>
              <w:right w:val="nil"/>
            </w:tcBorders>
            <w:shd w:val="clear" w:color="auto" w:fill="FFFFFF"/>
            <w:noWrap/>
            <w:vAlign w:val="center"/>
          </w:tcPr>
          <w:p w14:paraId="62AF9C62">
            <w:pPr>
              <w:jc w:val="center"/>
              <w:rPr>
                <w:rFonts w:hint="eastAsia" w:ascii="宋体" w:hAnsi="宋体" w:eastAsia="宋体" w:cs="宋体"/>
                <w:b w:val="0"/>
                <w:i w:val="0"/>
                <w:iCs w:val="0"/>
                <w:color w:val="000000"/>
                <w:sz w:val="18"/>
                <w:szCs w:val="18"/>
                <w:u w:val="none"/>
              </w:rPr>
            </w:pPr>
          </w:p>
        </w:tc>
        <w:tc>
          <w:tcPr>
            <w:tcW w:w="667" w:type="pct"/>
            <w:tcBorders>
              <w:top w:val="nil"/>
              <w:left w:val="nil"/>
              <w:bottom w:val="single" w:color="000000" w:sz="12" w:space="0"/>
              <w:right w:val="nil"/>
            </w:tcBorders>
            <w:shd w:val="clear" w:color="auto" w:fill="FFFFFF"/>
            <w:noWrap/>
            <w:vAlign w:val="center"/>
          </w:tcPr>
          <w:p w14:paraId="1F1E0C8D">
            <w:pPr>
              <w:jc w:val="center"/>
              <w:rPr>
                <w:rFonts w:hint="eastAsia" w:ascii="宋体" w:hAnsi="宋体" w:eastAsia="宋体" w:cs="宋体"/>
                <w:b w:val="0"/>
                <w:i w:val="0"/>
                <w:iCs w:val="0"/>
                <w:color w:val="000000"/>
                <w:sz w:val="18"/>
                <w:szCs w:val="18"/>
                <w:u w:val="none"/>
              </w:rPr>
            </w:pPr>
          </w:p>
        </w:tc>
        <w:tc>
          <w:tcPr>
            <w:tcW w:w="667" w:type="pct"/>
            <w:tcBorders>
              <w:top w:val="nil"/>
              <w:left w:val="nil"/>
              <w:bottom w:val="single" w:color="000000" w:sz="12" w:space="0"/>
              <w:right w:val="nil"/>
            </w:tcBorders>
            <w:shd w:val="clear" w:color="auto" w:fill="FFFFFF"/>
            <w:noWrap/>
            <w:vAlign w:val="center"/>
          </w:tcPr>
          <w:p w14:paraId="3C3439D6">
            <w:pPr>
              <w:jc w:val="center"/>
              <w:rPr>
                <w:rFonts w:hint="eastAsia" w:ascii="宋体" w:hAnsi="宋体" w:eastAsia="宋体" w:cs="宋体"/>
                <w:b w:val="0"/>
                <w:i w:val="0"/>
                <w:iCs w:val="0"/>
                <w:color w:val="000000"/>
                <w:sz w:val="18"/>
                <w:szCs w:val="18"/>
                <w:u w:val="none"/>
              </w:rPr>
            </w:pPr>
          </w:p>
        </w:tc>
      </w:tr>
    </w:tbl>
    <w:p w14:paraId="75BF61D0">
      <w:pP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Note. R Squared = .997 (Adjusted R Squared = .997)</w:t>
      </w:r>
      <w:r>
        <w:rPr>
          <w:rFonts w:hint="default" w:ascii="宋体" w:hAnsi="宋体" w:eastAsia="宋体" w:cs="宋体"/>
          <w:sz w:val="18"/>
          <w:szCs w:val="18"/>
          <w:lang w:val="en-US" w:eastAsia="zh-CN"/>
        </w:rPr>
        <w:t>.</w:t>
      </w:r>
    </w:p>
    <w:p w14:paraId="00D0E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表1斜方差回归斜率齐性检验结果显示，</w:t>
      </w:r>
      <w:r>
        <w:rPr>
          <w:rFonts w:hint="default" w:ascii="方正仿宋_GB2312" w:hAnsi="方正仿宋_GB2312" w:eastAsia="方正仿宋_GB2312" w:cs="方正仿宋_GB2312"/>
          <w:sz w:val="21"/>
          <w:szCs w:val="21"/>
          <w:lang w:val="en-US" w:eastAsia="zh-CN"/>
        </w:rPr>
        <w:t>修正模型整体显著，</w:t>
      </w:r>
      <w:r>
        <w:rPr>
          <w:rFonts w:hint="eastAsia" w:ascii="方正仿宋_GB2312" w:hAnsi="方正仿宋_GB2312" w:eastAsia="方正仿宋_GB2312" w:cs="方正仿宋_GB2312"/>
          <w:sz w:val="21"/>
          <w:szCs w:val="21"/>
          <w:lang w:val="en-US" w:eastAsia="zh-CN"/>
        </w:rPr>
        <w:t>（</w:t>
      </w:r>
      <w:r>
        <w:rPr>
          <w:rFonts w:hint="default" w:ascii="方正仿宋_GB2312" w:hAnsi="方正仿宋_GB2312" w:eastAsia="方正仿宋_GB2312" w:cs="方正仿宋_GB2312"/>
          <w:sz w:val="21"/>
          <w:szCs w:val="21"/>
          <w:lang w:val="en-US" w:eastAsia="zh-CN"/>
        </w:rPr>
        <w:t>F(3, 56) = 6627.06，p &lt; .001，调整R² = .997</w:t>
      </w:r>
      <w:r>
        <w:rPr>
          <w:rFonts w:hint="eastAsia" w:ascii="方正仿宋_GB2312" w:hAnsi="方正仿宋_GB2312" w:eastAsia="方正仿宋_GB2312" w:cs="方正仿宋_GB2312"/>
          <w:sz w:val="21"/>
          <w:szCs w:val="21"/>
          <w:lang w:val="en-US" w:eastAsia="zh-CN"/>
        </w:rPr>
        <w:t>）。分组与前测的交互项（Group * Pre，即分组×前测）检验结果为 F(1, 56) = 3469.54，p &lt; .001，偏η² = 0.984。交互效应达到统计学显著性水平，表明前测对后测的回归斜率在两组间存在显著差异，违背ANCOVA回归斜率齐性前提假设。</w:t>
      </w:r>
    </w:p>
    <w:p w14:paraId="48928A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t xml:space="preserve">2. </w:t>
      </w:r>
      <w:r>
        <w:rPr>
          <w:rFonts w:hint="eastAsia" w:ascii="方正仿宋_GB2312" w:hAnsi="方正仿宋_GB2312" w:eastAsia="方正仿宋_GB2312" w:cs="方正仿宋_GB2312"/>
          <w:sz w:val="21"/>
          <w:szCs w:val="21"/>
          <w:lang w:val="en-US" w:eastAsia="zh-CN"/>
        </w:rPr>
        <w:t>多元回归与简单斜率分析</w:t>
      </w:r>
    </w:p>
    <w:p w14:paraId="3F4CF1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斜方差回归斜率不齐表明组间差异的大小会随协变量的取值变化而变化。为了完整保留协变量信息、明确干预效应随协变量的变化规律，构建多元回归模型（因变量：后测；自变量：分组、前测、分组*前测）并进行简单斜率分析，计算协变量取均值、均值±1标准差等典型值时的组间效应。</w:t>
      </w:r>
    </w:p>
    <w:p w14:paraId="5267B4AB">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bCs/>
          <w:i w:val="0"/>
          <w:iCs w:val="0"/>
          <w:sz w:val="18"/>
          <w:szCs w:val="18"/>
          <w:lang w:val="en-US" w:eastAsia="zh-CN"/>
        </w:rPr>
      </w:pPr>
      <w:r>
        <w:rPr>
          <w:rFonts w:hint="eastAsia" w:ascii="宋体" w:hAnsi="宋体" w:eastAsia="宋体" w:cs="宋体"/>
          <w:b/>
          <w:bCs/>
          <w:i w:val="0"/>
          <w:iCs w:val="0"/>
          <w:sz w:val="18"/>
          <w:szCs w:val="18"/>
          <w:lang w:val="en-US" w:eastAsia="zh-CN"/>
        </w:rPr>
        <w:t>Table</w:t>
      </w:r>
      <w:r>
        <w:rPr>
          <w:rFonts w:hint="default" w:ascii="宋体" w:hAnsi="宋体" w:eastAsia="宋体" w:cs="宋体"/>
          <w:b/>
          <w:bCs/>
          <w:i w:val="0"/>
          <w:iCs w:val="0"/>
          <w:sz w:val="18"/>
          <w:szCs w:val="18"/>
          <w:lang w:val="en-US" w:eastAsia="zh-CN"/>
        </w:rPr>
        <w:t xml:space="preserve"> 2</w:t>
      </w:r>
      <w:r>
        <w:rPr>
          <w:rFonts w:hint="eastAsia" w:ascii="宋体" w:hAnsi="宋体" w:eastAsia="宋体" w:cs="宋体"/>
          <w:b/>
          <w:bCs/>
          <w:i w:val="0"/>
          <w:iCs w:val="0"/>
          <w:sz w:val="18"/>
          <w:szCs w:val="18"/>
          <w:lang w:val="en-US" w:eastAsia="zh-CN"/>
        </w:rPr>
        <w:t xml:space="preserve"> </w:t>
      </w:r>
    </w:p>
    <w:p w14:paraId="6F8195D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i/>
          <w:iCs/>
          <w:sz w:val="18"/>
          <w:szCs w:val="18"/>
          <w:lang w:val="en-US" w:eastAsia="zh-CN"/>
        </w:rPr>
      </w:pPr>
      <w:r>
        <w:rPr>
          <w:rFonts w:hint="eastAsia" w:ascii="宋体" w:hAnsi="宋体" w:eastAsia="宋体" w:cs="宋体"/>
          <w:i/>
          <w:iCs/>
          <w:sz w:val="18"/>
          <w:szCs w:val="18"/>
          <w:lang w:val="en-US" w:eastAsia="zh-CN"/>
        </w:rPr>
        <w:t>Linear Regression Results for Testing the Homogeneity of Regression Slopes Assumption for ANCOVA</w:t>
      </w:r>
    </w:p>
    <w:p w14:paraId="1A1839D2">
      <w:pPr>
        <w:keepNext w:val="0"/>
        <w:keepLines w:val="0"/>
        <w:pageBreakBefore w:val="0"/>
        <w:widowControl w:val="0"/>
        <w:kinsoku/>
        <w:wordWrap/>
        <w:overflowPunct/>
        <w:topLinePunct w:val="0"/>
        <w:autoSpaceDE/>
        <w:autoSpaceDN/>
        <w:bidi w:val="0"/>
        <w:adjustRightInd/>
        <w:snapToGrid/>
        <w:spacing w:line="360" w:lineRule="auto"/>
        <w:ind w:firstLine="0" w:firstLineChars="0"/>
        <w:jc w:val="right"/>
        <w:textAlignment w:val="auto"/>
        <w:rPr>
          <w:rFonts w:hint="eastAsia" w:ascii="宋体" w:hAnsi="宋体" w:eastAsia="宋体" w:cs="宋体"/>
          <w:i/>
          <w:iCs/>
          <w:sz w:val="18"/>
          <w:szCs w:val="18"/>
          <w:lang w:val="en-US" w:eastAsia="zh-CN"/>
        </w:rPr>
      </w:pPr>
      <w:r>
        <w:rPr>
          <w:rFonts w:hint="eastAsia" w:ascii="宋体" w:hAnsi="宋体" w:eastAsia="宋体" w:cs="宋体"/>
          <w:i/>
          <w:iCs/>
          <w:sz w:val="18"/>
          <w:szCs w:val="18"/>
          <w:lang w:val="en-US" w:eastAsia="zh-CN"/>
        </w:rPr>
        <w:t>Dependent Variable: Posttest Score</w:t>
      </w:r>
    </w:p>
    <w:tbl>
      <w:tblPr>
        <w:tblW w:w="499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37"/>
        <w:gridCol w:w="739"/>
        <w:gridCol w:w="989"/>
        <w:gridCol w:w="740"/>
        <w:gridCol w:w="740"/>
        <w:gridCol w:w="740"/>
        <w:gridCol w:w="810"/>
        <w:gridCol w:w="740"/>
        <w:gridCol w:w="740"/>
        <w:gridCol w:w="740"/>
      </w:tblGrid>
      <w:tr w14:paraId="03C79B28">
        <w:trPr>
          <w:trHeight w:val="352" w:hRule="atLeast"/>
        </w:trPr>
        <w:tc>
          <w:tcPr>
            <w:tcW w:w="906" w:type="pct"/>
            <w:tcBorders>
              <w:top w:val="single" w:color="000000" w:sz="12" w:space="0"/>
              <w:left w:val="nil"/>
              <w:bottom w:val="single" w:color="000000" w:sz="4" w:space="0"/>
              <w:right w:val="nil"/>
              <w:tl2br w:val="nil"/>
            </w:tcBorders>
            <w:shd w:val="clear" w:color="auto" w:fill="FFFFFF"/>
            <w:noWrap/>
            <w:vAlign w:val="center"/>
          </w:tcPr>
          <w:p w14:paraId="6787D2E9">
            <w:pPr>
              <w:jc w:val="center"/>
              <w:rPr>
                <w:rFonts w:hint="eastAsia" w:ascii="宋体" w:hAnsi="宋体" w:eastAsia="宋体" w:cs="宋体"/>
                <w:b w:val="0"/>
                <w:i w:val="0"/>
                <w:iCs w:val="0"/>
                <w:color w:val="000000"/>
                <w:sz w:val="18"/>
                <w:szCs w:val="18"/>
                <w:u w:val="none"/>
              </w:rPr>
            </w:pPr>
          </w:p>
        </w:tc>
        <w:tc>
          <w:tcPr>
            <w:tcW w:w="438" w:type="pct"/>
            <w:tcBorders>
              <w:top w:val="single" w:color="000000" w:sz="12" w:space="0"/>
              <w:left w:val="nil"/>
              <w:bottom w:val="single" w:color="000000" w:sz="4" w:space="0"/>
              <w:right w:val="nil"/>
            </w:tcBorders>
            <w:shd w:val="clear" w:color="auto" w:fill="FFFFFF"/>
            <w:noWrap/>
            <w:vAlign w:val="center"/>
          </w:tcPr>
          <w:p w14:paraId="1477A59B">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R-Sq</w:t>
            </w:r>
          </w:p>
        </w:tc>
        <w:tc>
          <w:tcPr>
            <w:tcW w:w="584" w:type="pct"/>
            <w:tcBorders>
              <w:top w:val="single" w:color="000000" w:sz="12" w:space="0"/>
              <w:left w:val="nil"/>
              <w:bottom w:val="single" w:color="000000" w:sz="4" w:space="0"/>
              <w:right w:val="nil"/>
            </w:tcBorders>
            <w:shd w:val="clear" w:color="auto" w:fill="FFFFFF"/>
            <w:noWrap/>
            <w:vAlign w:val="center"/>
          </w:tcPr>
          <w:p w14:paraId="71D8120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F(df1,df2)</w:t>
            </w:r>
          </w:p>
        </w:tc>
        <w:tc>
          <w:tcPr>
            <w:tcW w:w="438" w:type="pct"/>
            <w:tcBorders>
              <w:top w:val="single" w:color="000000" w:sz="12" w:space="0"/>
              <w:left w:val="nil"/>
              <w:bottom w:val="single" w:color="000000" w:sz="4" w:space="0"/>
              <w:right w:val="nil"/>
            </w:tcBorders>
            <w:shd w:val="clear" w:color="auto" w:fill="FFFFFF"/>
            <w:noWrap/>
            <w:vAlign w:val="center"/>
          </w:tcPr>
          <w:p w14:paraId="45CA13D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p</w:t>
            </w:r>
          </w:p>
        </w:tc>
        <w:tc>
          <w:tcPr>
            <w:tcW w:w="438" w:type="pct"/>
            <w:tcBorders>
              <w:top w:val="single" w:color="000000" w:sz="12" w:space="0"/>
              <w:left w:val="nil"/>
              <w:bottom w:val="single" w:color="000000" w:sz="4" w:space="0"/>
              <w:right w:val="nil"/>
            </w:tcBorders>
            <w:shd w:val="clear" w:color="auto" w:fill="FFFFFF"/>
            <w:noWrap/>
            <w:vAlign w:val="center"/>
          </w:tcPr>
          <w:p w14:paraId="7D4DD5C2">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coeff</w:t>
            </w:r>
          </w:p>
        </w:tc>
        <w:tc>
          <w:tcPr>
            <w:tcW w:w="438" w:type="pct"/>
            <w:tcBorders>
              <w:top w:val="single" w:color="000000" w:sz="12" w:space="0"/>
              <w:left w:val="nil"/>
              <w:bottom w:val="single" w:color="000000" w:sz="4" w:space="0"/>
              <w:right w:val="nil"/>
            </w:tcBorders>
            <w:shd w:val="clear" w:color="auto" w:fill="FFFFFF"/>
            <w:noWrap/>
            <w:vAlign w:val="center"/>
          </w:tcPr>
          <w:p w14:paraId="084B75A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se</w:t>
            </w:r>
          </w:p>
        </w:tc>
        <w:tc>
          <w:tcPr>
            <w:tcW w:w="438" w:type="pct"/>
            <w:tcBorders>
              <w:top w:val="single" w:color="000000" w:sz="12" w:space="0"/>
              <w:left w:val="nil"/>
              <w:bottom w:val="single" w:color="000000" w:sz="4" w:space="0"/>
              <w:right w:val="nil"/>
            </w:tcBorders>
            <w:shd w:val="clear" w:color="auto" w:fill="FFFFFF"/>
            <w:noWrap/>
            <w:vAlign w:val="center"/>
          </w:tcPr>
          <w:p w14:paraId="436FA400">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t</w:t>
            </w:r>
          </w:p>
        </w:tc>
        <w:tc>
          <w:tcPr>
            <w:tcW w:w="438" w:type="pct"/>
            <w:tcBorders>
              <w:top w:val="single" w:color="000000" w:sz="12" w:space="0"/>
              <w:left w:val="nil"/>
              <w:bottom w:val="single" w:color="000000" w:sz="4" w:space="0"/>
              <w:right w:val="nil"/>
            </w:tcBorders>
            <w:shd w:val="clear" w:color="auto" w:fill="FFFFFF"/>
            <w:noWrap/>
            <w:vAlign w:val="center"/>
          </w:tcPr>
          <w:p w14:paraId="1461B6E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p</w:t>
            </w:r>
          </w:p>
        </w:tc>
        <w:tc>
          <w:tcPr>
            <w:tcW w:w="438" w:type="pct"/>
            <w:tcBorders>
              <w:top w:val="single" w:color="000000" w:sz="12" w:space="0"/>
              <w:left w:val="nil"/>
              <w:bottom w:val="single" w:color="000000" w:sz="4" w:space="0"/>
              <w:right w:val="nil"/>
            </w:tcBorders>
            <w:shd w:val="clear" w:color="auto" w:fill="FFFFFF"/>
            <w:noWrap/>
            <w:vAlign w:val="center"/>
          </w:tcPr>
          <w:p w14:paraId="06852840">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LLCI</w:t>
            </w:r>
          </w:p>
        </w:tc>
        <w:tc>
          <w:tcPr>
            <w:tcW w:w="438" w:type="pct"/>
            <w:tcBorders>
              <w:top w:val="single" w:color="000000" w:sz="12" w:space="0"/>
              <w:left w:val="nil"/>
              <w:bottom w:val="single" w:color="000000" w:sz="4" w:space="0"/>
              <w:right w:val="nil"/>
            </w:tcBorders>
            <w:shd w:val="clear" w:color="auto" w:fill="FFFFFF"/>
            <w:noWrap/>
            <w:vAlign w:val="center"/>
          </w:tcPr>
          <w:p w14:paraId="24DCDA7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ULCI</w:t>
            </w:r>
          </w:p>
        </w:tc>
      </w:tr>
      <w:tr w14:paraId="70ED8324">
        <w:trPr>
          <w:trHeight w:val="352" w:hRule="atLeast"/>
        </w:trPr>
        <w:tc>
          <w:tcPr>
            <w:tcW w:w="906" w:type="pct"/>
            <w:tcBorders>
              <w:top w:val="single" w:color="000000" w:sz="4" w:space="0"/>
              <w:left w:val="nil"/>
              <w:bottom w:val="nil"/>
              <w:right w:val="nil"/>
            </w:tcBorders>
            <w:shd w:val="clear" w:color="auto" w:fill="FFFFFF"/>
            <w:noWrap/>
            <w:vAlign w:val="center"/>
          </w:tcPr>
          <w:p w14:paraId="16571DB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constant</w:t>
            </w:r>
          </w:p>
        </w:tc>
        <w:tc>
          <w:tcPr>
            <w:tcW w:w="438" w:type="pct"/>
            <w:vMerge w:val="restart"/>
            <w:tcBorders>
              <w:top w:val="single" w:color="000000" w:sz="4" w:space="0"/>
              <w:left w:val="nil"/>
              <w:bottom w:val="nil"/>
              <w:right w:val="nil"/>
            </w:tcBorders>
            <w:shd w:val="clear" w:color="auto" w:fill="FFFFFF"/>
            <w:noWrap/>
            <w:vAlign w:val="center"/>
          </w:tcPr>
          <w:p w14:paraId="518DD35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0.997</w:t>
            </w:r>
          </w:p>
        </w:tc>
        <w:tc>
          <w:tcPr>
            <w:tcW w:w="584" w:type="pct"/>
            <w:vMerge w:val="restart"/>
            <w:tcBorders>
              <w:top w:val="single" w:color="000000" w:sz="4" w:space="0"/>
              <w:left w:val="nil"/>
              <w:bottom w:val="nil"/>
              <w:right w:val="nil"/>
            </w:tcBorders>
            <w:shd w:val="clear" w:color="auto" w:fill="FFFFFF"/>
            <w:vAlign w:val="center"/>
          </w:tcPr>
          <w:p w14:paraId="2A40FB2B">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6627.059</w:t>
            </w:r>
            <w:r>
              <w:rPr>
                <w:rFonts w:hint="eastAsia" w:ascii="宋体" w:hAnsi="宋体" w:eastAsia="宋体" w:cs="宋体"/>
                <w:b w:val="0"/>
                <w:i w:val="0"/>
                <w:iCs w:val="0"/>
                <w:color w:val="000000"/>
                <w:kern w:val="0"/>
                <w:sz w:val="18"/>
                <w:szCs w:val="18"/>
                <w:u w:val="none"/>
                <w:bdr w:val="none" w:color="auto" w:sz="0" w:space="0"/>
                <w:lang w:val="en-US" w:eastAsia="zh-CN" w:bidi="ar"/>
              </w:rPr>
              <w:br w:type="textWrapping"/>
            </w:r>
            <w:r>
              <w:rPr>
                <w:rFonts w:hint="eastAsia" w:ascii="宋体" w:hAnsi="宋体" w:eastAsia="宋体" w:cs="宋体"/>
                <w:b w:val="0"/>
                <w:i w:val="0"/>
                <w:iCs w:val="0"/>
                <w:color w:val="000000"/>
                <w:kern w:val="0"/>
                <w:sz w:val="18"/>
                <w:szCs w:val="18"/>
                <w:u w:val="none"/>
                <w:bdr w:val="none" w:color="auto" w:sz="0" w:space="0"/>
                <w:lang w:val="en-US" w:eastAsia="zh-CN" w:bidi="ar"/>
              </w:rPr>
              <w:t>(3,56)</w:t>
            </w:r>
          </w:p>
        </w:tc>
        <w:tc>
          <w:tcPr>
            <w:tcW w:w="438" w:type="pct"/>
            <w:vMerge w:val="restart"/>
            <w:tcBorders>
              <w:top w:val="single" w:color="000000" w:sz="4" w:space="0"/>
              <w:left w:val="nil"/>
              <w:bottom w:val="nil"/>
              <w:right w:val="nil"/>
            </w:tcBorders>
            <w:shd w:val="clear" w:color="auto" w:fill="FFFFFF"/>
            <w:noWrap/>
            <w:vAlign w:val="center"/>
          </w:tcPr>
          <w:p w14:paraId="15F746BB">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&lt; .001</w:t>
            </w:r>
          </w:p>
        </w:tc>
        <w:tc>
          <w:tcPr>
            <w:tcW w:w="438" w:type="pct"/>
            <w:tcBorders>
              <w:top w:val="single" w:color="000000" w:sz="4" w:space="0"/>
              <w:left w:val="nil"/>
              <w:bottom w:val="nil"/>
              <w:right w:val="nil"/>
            </w:tcBorders>
            <w:shd w:val="clear" w:color="auto" w:fill="FFFFFF"/>
            <w:noWrap/>
            <w:vAlign w:val="center"/>
          </w:tcPr>
          <w:p w14:paraId="0228D66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6.789</w:t>
            </w:r>
          </w:p>
        </w:tc>
        <w:tc>
          <w:tcPr>
            <w:tcW w:w="438" w:type="pct"/>
            <w:tcBorders>
              <w:top w:val="single" w:color="000000" w:sz="4" w:space="0"/>
              <w:left w:val="nil"/>
              <w:bottom w:val="nil"/>
              <w:right w:val="nil"/>
            </w:tcBorders>
            <w:shd w:val="clear" w:color="auto" w:fill="FFFFFF"/>
            <w:noWrap/>
            <w:vAlign w:val="center"/>
          </w:tcPr>
          <w:p w14:paraId="6C8FBD02">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0.013</w:t>
            </w:r>
          </w:p>
        </w:tc>
        <w:tc>
          <w:tcPr>
            <w:tcW w:w="438" w:type="pct"/>
            <w:tcBorders>
              <w:top w:val="single" w:color="000000" w:sz="4" w:space="0"/>
              <w:left w:val="nil"/>
              <w:bottom w:val="nil"/>
              <w:right w:val="nil"/>
            </w:tcBorders>
            <w:shd w:val="clear" w:color="auto" w:fill="FFFFFF"/>
            <w:noWrap/>
            <w:vAlign w:val="center"/>
          </w:tcPr>
          <w:p w14:paraId="2222659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532.192</w:t>
            </w:r>
          </w:p>
        </w:tc>
        <w:tc>
          <w:tcPr>
            <w:tcW w:w="740" w:type="dxa"/>
            <w:tcBorders>
              <w:top w:val="single" w:color="000000" w:sz="4" w:space="0"/>
              <w:left w:val="nil"/>
              <w:bottom w:val="nil"/>
              <w:right w:val="nil"/>
            </w:tcBorders>
            <w:shd w:val="clear" w:color="auto" w:fill="FFFFFF"/>
            <w:noWrap/>
            <w:vAlign w:val="center"/>
          </w:tcPr>
          <w:p w14:paraId="2162E2D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438" w:type="pct"/>
            <w:tcBorders>
              <w:top w:val="single" w:color="000000" w:sz="4" w:space="0"/>
              <w:left w:val="nil"/>
              <w:bottom w:val="nil"/>
              <w:right w:val="nil"/>
            </w:tcBorders>
            <w:shd w:val="clear" w:color="auto" w:fill="FFFFFF"/>
            <w:noWrap/>
            <w:vAlign w:val="center"/>
          </w:tcPr>
          <w:p w14:paraId="30BFB37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6.763</w:t>
            </w:r>
          </w:p>
        </w:tc>
        <w:tc>
          <w:tcPr>
            <w:tcW w:w="438" w:type="pct"/>
            <w:tcBorders>
              <w:top w:val="single" w:color="000000" w:sz="4" w:space="0"/>
              <w:left w:val="nil"/>
              <w:bottom w:val="nil"/>
              <w:right w:val="nil"/>
            </w:tcBorders>
            <w:shd w:val="clear" w:color="auto" w:fill="FFFFFF"/>
            <w:noWrap/>
            <w:vAlign w:val="center"/>
          </w:tcPr>
          <w:p w14:paraId="0E6AF510">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6.815</w:t>
            </w:r>
          </w:p>
        </w:tc>
      </w:tr>
      <w:tr w14:paraId="69DBC0C6">
        <w:trPr>
          <w:trHeight w:val="352" w:hRule="atLeast"/>
        </w:trPr>
        <w:tc>
          <w:tcPr>
            <w:tcW w:w="906" w:type="pct"/>
            <w:tcBorders>
              <w:top w:val="nil"/>
              <w:left w:val="nil"/>
              <w:bottom w:val="nil"/>
              <w:right w:val="nil"/>
            </w:tcBorders>
            <w:shd w:val="clear" w:color="auto" w:fill="FFFFFF"/>
            <w:noWrap/>
            <w:vAlign w:val="center"/>
          </w:tcPr>
          <w:p w14:paraId="04D8715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Group</w:t>
            </w:r>
          </w:p>
        </w:tc>
        <w:tc>
          <w:tcPr>
            <w:tcW w:w="438" w:type="pct"/>
            <w:vMerge w:val="continue"/>
            <w:tcBorders>
              <w:top w:val="nil"/>
              <w:left w:val="nil"/>
              <w:bottom w:val="nil"/>
              <w:right w:val="nil"/>
            </w:tcBorders>
            <w:shd w:val="clear" w:color="auto" w:fill="FFFFFF"/>
            <w:noWrap/>
            <w:vAlign w:val="center"/>
          </w:tcPr>
          <w:p w14:paraId="68C79BB1">
            <w:pPr>
              <w:jc w:val="center"/>
              <w:rPr>
                <w:rFonts w:hint="eastAsia" w:ascii="宋体" w:hAnsi="宋体" w:eastAsia="宋体" w:cs="宋体"/>
                <w:b w:val="0"/>
                <w:i w:val="0"/>
                <w:iCs w:val="0"/>
                <w:color w:val="000000"/>
                <w:sz w:val="18"/>
                <w:szCs w:val="18"/>
                <w:u w:val="none"/>
              </w:rPr>
            </w:pPr>
          </w:p>
        </w:tc>
        <w:tc>
          <w:tcPr>
            <w:tcW w:w="584" w:type="pct"/>
            <w:vMerge w:val="continue"/>
            <w:tcBorders>
              <w:top w:val="nil"/>
              <w:left w:val="nil"/>
              <w:bottom w:val="nil"/>
              <w:right w:val="nil"/>
            </w:tcBorders>
            <w:shd w:val="clear" w:color="auto" w:fill="FFFFFF"/>
            <w:vAlign w:val="center"/>
          </w:tcPr>
          <w:p w14:paraId="04D18861">
            <w:pPr>
              <w:jc w:val="center"/>
              <w:rPr>
                <w:rFonts w:hint="eastAsia" w:ascii="宋体" w:hAnsi="宋体" w:eastAsia="宋体" w:cs="宋体"/>
                <w:b w:val="0"/>
                <w:i w:val="0"/>
                <w:iCs w:val="0"/>
                <w:color w:val="000000"/>
                <w:sz w:val="18"/>
                <w:szCs w:val="18"/>
                <w:u w:val="none"/>
              </w:rPr>
            </w:pPr>
          </w:p>
        </w:tc>
        <w:tc>
          <w:tcPr>
            <w:tcW w:w="438" w:type="pct"/>
            <w:vMerge w:val="continue"/>
            <w:tcBorders>
              <w:top w:val="nil"/>
              <w:left w:val="nil"/>
              <w:bottom w:val="nil"/>
              <w:right w:val="nil"/>
            </w:tcBorders>
            <w:shd w:val="clear" w:color="auto" w:fill="FFFFFF"/>
            <w:noWrap/>
            <w:vAlign w:val="center"/>
          </w:tcPr>
          <w:p w14:paraId="57895D22">
            <w:pPr>
              <w:jc w:val="center"/>
              <w:rPr>
                <w:rFonts w:hint="eastAsia" w:ascii="宋体" w:hAnsi="宋体" w:eastAsia="宋体" w:cs="宋体"/>
                <w:b w:val="0"/>
                <w:i w:val="0"/>
                <w:iCs w:val="0"/>
                <w:color w:val="000000"/>
                <w:sz w:val="18"/>
                <w:szCs w:val="18"/>
                <w:u w:val="none"/>
              </w:rPr>
            </w:pPr>
          </w:p>
        </w:tc>
        <w:tc>
          <w:tcPr>
            <w:tcW w:w="438" w:type="pct"/>
            <w:tcBorders>
              <w:top w:val="nil"/>
              <w:left w:val="nil"/>
              <w:bottom w:val="nil"/>
              <w:right w:val="nil"/>
            </w:tcBorders>
            <w:shd w:val="clear" w:color="auto" w:fill="FFFFFF"/>
            <w:noWrap/>
            <w:vAlign w:val="center"/>
          </w:tcPr>
          <w:p w14:paraId="7663F03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1.233</w:t>
            </w:r>
          </w:p>
        </w:tc>
        <w:tc>
          <w:tcPr>
            <w:tcW w:w="438" w:type="pct"/>
            <w:tcBorders>
              <w:top w:val="nil"/>
              <w:left w:val="nil"/>
              <w:bottom w:val="nil"/>
              <w:right w:val="nil"/>
            </w:tcBorders>
            <w:shd w:val="clear" w:color="auto" w:fill="FFFFFF"/>
            <w:noWrap/>
            <w:vAlign w:val="center"/>
          </w:tcPr>
          <w:p w14:paraId="670ABD6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0.018</w:t>
            </w:r>
          </w:p>
        </w:tc>
        <w:tc>
          <w:tcPr>
            <w:tcW w:w="438" w:type="pct"/>
            <w:tcBorders>
              <w:top w:val="nil"/>
              <w:left w:val="nil"/>
              <w:bottom w:val="nil"/>
              <w:right w:val="nil"/>
            </w:tcBorders>
            <w:shd w:val="clear" w:color="auto" w:fill="FFFFFF"/>
            <w:noWrap/>
            <w:vAlign w:val="center"/>
          </w:tcPr>
          <w:p w14:paraId="00A9505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68.374</w:t>
            </w:r>
          </w:p>
        </w:tc>
        <w:tc>
          <w:tcPr>
            <w:tcW w:w="740" w:type="dxa"/>
            <w:tcBorders>
              <w:top w:val="nil"/>
              <w:left w:val="nil"/>
              <w:bottom w:val="nil"/>
              <w:right w:val="nil"/>
            </w:tcBorders>
            <w:shd w:val="clear" w:color="auto" w:fill="FFFFFF"/>
            <w:noWrap/>
            <w:vAlign w:val="center"/>
          </w:tcPr>
          <w:p w14:paraId="328AED71">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438" w:type="pct"/>
            <w:tcBorders>
              <w:top w:val="nil"/>
              <w:left w:val="nil"/>
              <w:bottom w:val="nil"/>
              <w:right w:val="nil"/>
            </w:tcBorders>
            <w:shd w:val="clear" w:color="auto" w:fill="FFFFFF"/>
            <w:noWrap/>
            <w:vAlign w:val="center"/>
          </w:tcPr>
          <w:p w14:paraId="22840FE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1.197</w:t>
            </w:r>
          </w:p>
        </w:tc>
        <w:tc>
          <w:tcPr>
            <w:tcW w:w="438" w:type="pct"/>
            <w:tcBorders>
              <w:top w:val="nil"/>
              <w:left w:val="nil"/>
              <w:bottom w:val="nil"/>
              <w:right w:val="nil"/>
            </w:tcBorders>
            <w:shd w:val="clear" w:color="auto" w:fill="FFFFFF"/>
            <w:noWrap/>
            <w:vAlign w:val="center"/>
          </w:tcPr>
          <w:p w14:paraId="19A0B5C7">
            <w:pPr>
              <w:keepNext w:val="0"/>
              <w:keepLines w:val="0"/>
              <w:widowControl/>
              <w:suppressLineNumbers w:val="0"/>
              <w:jc w:val="center"/>
              <w:textAlignment w:val="center"/>
              <w:rPr>
                <w:rFonts w:hint="default"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kern w:val="0"/>
                <w:sz w:val="18"/>
                <w:szCs w:val="18"/>
                <w:u w:val="none"/>
                <w:bdr w:val="none" w:color="auto" w:sz="0" w:space="0"/>
                <w:lang w:val="en-US" w:eastAsia="zh-CN" w:bidi="ar"/>
              </w:rPr>
              <w:t>1.27</w:t>
            </w:r>
            <w:r>
              <w:rPr>
                <w:rFonts w:hint="default" w:ascii="宋体" w:hAnsi="宋体" w:eastAsia="宋体" w:cs="宋体"/>
                <w:b w:val="0"/>
                <w:i w:val="0"/>
                <w:iCs w:val="0"/>
                <w:color w:val="000000"/>
                <w:kern w:val="0"/>
                <w:sz w:val="18"/>
                <w:szCs w:val="18"/>
                <w:u w:val="none"/>
                <w:bdr w:val="none" w:color="auto" w:sz="0" w:space="0"/>
                <w:lang w:val="en-US" w:eastAsia="zh-CN" w:bidi="ar"/>
              </w:rPr>
              <w:t>0</w:t>
            </w:r>
          </w:p>
        </w:tc>
      </w:tr>
      <w:tr w14:paraId="19EB7A85">
        <w:trPr>
          <w:trHeight w:val="352" w:hRule="atLeast"/>
        </w:trPr>
        <w:tc>
          <w:tcPr>
            <w:tcW w:w="906" w:type="pct"/>
            <w:tcBorders>
              <w:top w:val="nil"/>
              <w:left w:val="nil"/>
              <w:bottom w:val="nil"/>
              <w:right w:val="nil"/>
            </w:tcBorders>
            <w:shd w:val="clear" w:color="auto" w:fill="FFFFFF"/>
            <w:noWrap/>
            <w:vAlign w:val="center"/>
          </w:tcPr>
          <w:p w14:paraId="260EEED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Pre_MC</w:t>
            </w:r>
          </w:p>
        </w:tc>
        <w:tc>
          <w:tcPr>
            <w:tcW w:w="438" w:type="pct"/>
            <w:vMerge w:val="continue"/>
            <w:tcBorders>
              <w:top w:val="nil"/>
              <w:left w:val="nil"/>
              <w:bottom w:val="nil"/>
              <w:right w:val="nil"/>
            </w:tcBorders>
            <w:shd w:val="clear" w:color="auto" w:fill="FFFFFF"/>
            <w:noWrap/>
            <w:vAlign w:val="center"/>
          </w:tcPr>
          <w:p w14:paraId="5FBC50BD">
            <w:pPr>
              <w:jc w:val="center"/>
              <w:rPr>
                <w:rFonts w:hint="eastAsia" w:ascii="宋体" w:hAnsi="宋体" w:eastAsia="宋体" w:cs="宋体"/>
                <w:b w:val="0"/>
                <w:i w:val="0"/>
                <w:iCs w:val="0"/>
                <w:color w:val="000000"/>
                <w:sz w:val="18"/>
                <w:szCs w:val="18"/>
                <w:u w:val="none"/>
              </w:rPr>
            </w:pPr>
          </w:p>
        </w:tc>
        <w:tc>
          <w:tcPr>
            <w:tcW w:w="584" w:type="pct"/>
            <w:vMerge w:val="continue"/>
            <w:tcBorders>
              <w:top w:val="nil"/>
              <w:left w:val="nil"/>
              <w:bottom w:val="nil"/>
              <w:right w:val="nil"/>
            </w:tcBorders>
            <w:shd w:val="clear" w:color="auto" w:fill="FFFFFF"/>
            <w:vAlign w:val="center"/>
          </w:tcPr>
          <w:p w14:paraId="72D1475C">
            <w:pPr>
              <w:jc w:val="center"/>
              <w:rPr>
                <w:rFonts w:hint="eastAsia" w:ascii="宋体" w:hAnsi="宋体" w:eastAsia="宋体" w:cs="宋体"/>
                <w:b w:val="0"/>
                <w:i w:val="0"/>
                <w:iCs w:val="0"/>
                <w:color w:val="000000"/>
                <w:sz w:val="18"/>
                <w:szCs w:val="18"/>
                <w:u w:val="none"/>
              </w:rPr>
            </w:pPr>
          </w:p>
        </w:tc>
        <w:tc>
          <w:tcPr>
            <w:tcW w:w="438" w:type="pct"/>
            <w:vMerge w:val="continue"/>
            <w:tcBorders>
              <w:top w:val="nil"/>
              <w:left w:val="nil"/>
              <w:bottom w:val="nil"/>
              <w:right w:val="nil"/>
            </w:tcBorders>
            <w:shd w:val="clear" w:color="auto" w:fill="FFFFFF"/>
            <w:noWrap/>
            <w:vAlign w:val="center"/>
          </w:tcPr>
          <w:p w14:paraId="7788FE7F">
            <w:pPr>
              <w:jc w:val="center"/>
              <w:rPr>
                <w:rFonts w:hint="eastAsia" w:ascii="宋体" w:hAnsi="宋体" w:eastAsia="宋体" w:cs="宋体"/>
                <w:b w:val="0"/>
                <w:i w:val="0"/>
                <w:iCs w:val="0"/>
                <w:color w:val="000000"/>
                <w:sz w:val="18"/>
                <w:szCs w:val="18"/>
                <w:u w:val="none"/>
              </w:rPr>
            </w:pPr>
          </w:p>
        </w:tc>
        <w:tc>
          <w:tcPr>
            <w:tcW w:w="438" w:type="pct"/>
            <w:tcBorders>
              <w:top w:val="nil"/>
              <w:left w:val="nil"/>
              <w:bottom w:val="nil"/>
              <w:right w:val="nil"/>
            </w:tcBorders>
            <w:shd w:val="clear" w:color="auto" w:fill="FFFFFF"/>
            <w:noWrap/>
            <w:vAlign w:val="center"/>
          </w:tcPr>
          <w:p w14:paraId="23FB409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0.868</w:t>
            </w:r>
          </w:p>
        </w:tc>
        <w:tc>
          <w:tcPr>
            <w:tcW w:w="438" w:type="pct"/>
            <w:tcBorders>
              <w:top w:val="nil"/>
              <w:left w:val="nil"/>
              <w:bottom w:val="nil"/>
              <w:right w:val="nil"/>
            </w:tcBorders>
            <w:shd w:val="clear" w:color="auto" w:fill="FFFFFF"/>
            <w:noWrap/>
            <w:vAlign w:val="center"/>
          </w:tcPr>
          <w:p w14:paraId="00CE98F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0.008</w:t>
            </w:r>
          </w:p>
        </w:tc>
        <w:tc>
          <w:tcPr>
            <w:tcW w:w="438" w:type="pct"/>
            <w:tcBorders>
              <w:top w:val="nil"/>
              <w:left w:val="nil"/>
              <w:bottom w:val="nil"/>
              <w:right w:val="nil"/>
            </w:tcBorders>
            <w:shd w:val="clear" w:color="auto" w:fill="FFFFFF"/>
            <w:noWrap/>
            <w:vAlign w:val="center"/>
          </w:tcPr>
          <w:p w14:paraId="12F21C9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115.181</w:t>
            </w:r>
          </w:p>
        </w:tc>
        <w:tc>
          <w:tcPr>
            <w:tcW w:w="740" w:type="dxa"/>
            <w:tcBorders>
              <w:top w:val="nil"/>
              <w:left w:val="nil"/>
              <w:bottom w:val="nil"/>
              <w:right w:val="nil"/>
            </w:tcBorders>
            <w:shd w:val="clear" w:color="auto" w:fill="FFFFFF"/>
            <w:noWrap/>
            <w:vAlign w:val="center"/>
          </w:tcPr>
          <w:p w14:paraId="0DA4E2B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438" w:type="pct"/>
            <w:tcBorders>
              <w:top w:val="nil"/>
              <w:left w:val="nil"/>
              <w:bottom w:val="nil"/>
              <w:right w:val="nil"/>
            </w:tcBorders>
            <w:shd w:val="clear" w:color="auto" w:fill="FFFFFF"/>
            <w:noWrap/>
            <w:vAlign w:val="center"/>
          </w:tcPr>
          <w:p w14:paraId="6832468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0.852</w:t>
            </w:r>
          </w:p>
        </w:tc>
        <w:tc>
          <w:tcPr>
            <w:tcW w:w="438" w:type="pct"/>
            <w:tcBorders>
              <w:top w:val="nil"/>
              <w:left w:val="nil"/>
              <w:bottom w:val="nil"/>
              <w:right w:val="nil"/>
            </w:tcBorders>
            <w:shd w:val="clear" w:color="auto" w:fill="FFFFFF"/>
            <w:noWrap/>
            <w:vAlign w:val="center"/>
          </w:tcPr>
          <w:p w14:paraId="1B66ADE0">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0.883</w:t>
            </w:r>
          </w:p>
        </w:tc>
      </w:tr>
      <w:tr w14:paraId="688827A7">
        <w:trPr>
          <w:trHeight w:val="352" w:hRule="atLeast"/>
        </w:trPr>
        <w:tc>
          <w:tcPr>
            <w:tcW w:w="906" w:type="pct"/>
            <w:tcBorders>
              <w:top w:val="nil"/>
              <w:left w:val="nil"/>
              <w:bottom w:val="single" w:color="000000" w:sz="12" w:space="0"/>
              <w:right w:val="nil"/>
            </w:tcBorders>
            <w:shd w:val="clear" w:color="auto" w:fill="FFFFFF"/>
            <w:noWrap/>
            <w:vAlign w:val="center"/>
          </w:tcPr>
          <w:p w14:paraId="4E7E398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Group*Pre_MC</w:t>
            </w:r>
          </w:p>
        </w:tc>
        <w:tc>
          <w:tcPr>
            <w:tcW w:w="438" w:type="pct"/>
            <w:vMerge w:val="continue"/>
            <w:tcBorders>
              <w:top w:val="nil"/>
              <w:left w:val="nil"/>
              <w:bottom w:val="single" w:color="000000" w:sz="12" w:space="0"/>
              <w:right w:val="nil"/>
            </w:tcBorders>
            <w:shd w:val="clear" w:color="auto" w:fill="FFFFFF"/>
            <w:noWrap/>
            <w:vAlign w:val="center"/>
          </w:tcPr>
          <w:p w14:paraId="1846BFE0">
            <w:pPr>
              <w:jc w:val="center"/>
              <w:rPr>
                <w:rFonts w:hint="eastAsia" w:ascii="宋体" w:hAnsi="宋体" w:eastAsia="宋体" w:cs="宋体"/>
                <w:b w:val="0"/>
                <w:i w:val="0"/>
                <w:iCs w:val="0"/>
                <w:color w:val="000000"/>
                <w:sz w:val="18"/>
                <w:szCs w:val="18"/>
                <w:u w:val="none"/>
              </w:rPr>
            </w:pPr>
          </w:p>
        </w:tc>
        <w:tc>
          <w:tcPr>
            <w:tcW w:w="584" w:type="pct"/>
            <w:vMerge w:val="continue"/>
            <w:tcBorders>
              <w:top w:val="nil"/>
              <w:left w:val="nil"/>
              <w:bottom w:val="single" w:color="000000" w:sz="12" w:space="0"/>
              <w:right w:val="nil"/>
            </w:tcBorders>
            <w:shd w:val="clear" w:color="auto" w:fill="FFFFFF"/>
            <w:vAlign w:val="center"/>
          </w:tcPr>
          <w:p w14:paraId="17DBF6F0">
            <w:pPr>
              <w:jc w:val="center"/>
              <w:rPr>
                <w:rFonts w:hint="eastAsia" w:ascii="宋体" w:hAnsi="宋体" w:eastAsia="宋体" w:cs="宋体"/>
                <w:b w:val="0"/>
                <w:i w:val="0"/>
                <w:iCs w:val="0"/>
                <w:color w:val="000000"/>
                <w:sz w:val="18"/>
                <w:szCs w:val="18"/>
                <w:u w:val="none"/>
              </w:rPr>
            </w:pPr>
          </w:p>
        </w:tc>
        <w:tc>
          <w:tcPr>
            <w:tcW w:w="438" w:type="pct"/>
            <w:vMerge w:val="continue"/>
            <w:tcBorders>
              <w:top w:val="nil"/>
              <w:left w:val="nil"/>
              <w:bottom w:val="single" w:color="000000" w:sz="12" w:space="0"/>
              <w:right w:val="nil"/>
            </w:tcBorders>
            <w:shd w:val="clear" w:color="auto" w:fill="FFFFFF"/>
            <w:noWrap/>
            <w:vAlign w:val="center"/>
          </w:tcPr>
          <w:p w14:paraId="4B56B2A5">
            <w:pPr>
              <w:jc w:val="center"/>
              <w:rPr>
                <w:rFonts w:hint="eastAsia" w:ascii="宋体" w:hAnsi="宋体" w:eastAsia="宋体" w:cs="宋体"/>
                <w:b w:val="0"/>
                <w:i w:val="0"/>
                <w:iCs w:val="0"/>
                <w:color w:val="000000"/>
                <w:sz w:val="18"/>
                <w:szCs w:val="18"/>
                <w:u w:val="none"/>
              </w:rPr>
            </w:pPr>
          </w:p>
        </w:tc>
        <w:tc>
          <w:tcPr>
            <w:tcW w:w="438" w:type="pct"/>
            <w:tcBorders>
              <w:top w:val="nil"/>
              <w:left w:val="nil"/>
              <w:bottom w:val="single" w:color="000000" w:sz="12" w:space="0"/>
              <w:right w:val="nil"/>
            </w:tcBorders>
            <w:shd w:val="clear" w:color="auto" w:fill="FFFFFF"/>
            <w:noWrap/>
            <w:vAlign w:val="center"/>
          </w:tcPr>
          <w:p w14:paraId="136C9C2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-0.616</w:t>
            </w:r>
          </w:p>
        </w:tc>
        <w:tc>
          <w:tcPr>
            <w:tcW w:w="438" w:type="pct"/>
            <w:tcBorders>
              <w:top w:val="nil"/>
              <w:left w:val="nil"/>
              <w:bottom w:val="single" w:color="000000" w:sz="12" w:space="0"/>
              <w:right w:val="nil"/>
            </w:tcBorders>
            <w:shd w:val="clear" w:color="auto" w:fill="FFFFFF"/>
            <w:noWrap/>
            <w:vAlign w:val="center"/>
          </w:tcPr>
          <w:p w14:paraId="032002CF">
            <w:pPr>
              <w:keepNext w:val="0"/>
              <w:keepLines w:val="0"/>
              <w:widowControl/>
              <w:suppressLineNumbers w:val="0"/>
              <w:jc w:val="center"/>
              <w:textAlignment w:val="center"/>
              <w:rPr>
                <w:rFonts w:hint="default"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kern w:val="0"/>
                <w:sz w:val="18"/>
                <w:szCs w:val="18"/>
                <w:u w:val="none"/>
                <w:bdr w:val="none" w:color="auto" w:sz="0" w:space="0"/>
                <w:lang w:val="en-US" w:eastAsia="zh-CN" w:bidi="ar"/>
              </w:rPr>
              <w:t>0.01</w:t>
            </w:r>
            <w:r>
              <w:rPr>
                <w:rFonts w:hint="default" w:ascii="宋体" w:hAnsi="宋体" w:eastAsia="宋体" w:cs="宋体"/>
                <w:b w:val="0"/>
                <w:i w:val="0"/>
                <w:iCs w:val="0"/>
                <w:color w:val="000000"/>
                <w:kern w:val="0"/>
                <w:sz w:val="18"/>
                <w:szCs w:val="18"/>
                <w:u w:val="none"/>
                <w:bdr w:val="none" w:color="auto" w:sz="0" w:space="0"/>
                <w:lang w:val="en-US" w:eastAsia="zh-CN" w:bidi="ar"/>
              </w:rPr>
              <w:t>0</w:t>
            </w:r>
          </w:p>
        </w:tc>
        <w:tc>
          <w:tcPr>
            <w:tcW w:w="438" w:type="pct"/>
            <w:tcBorders>
              <w:top w:val="nil"/>
              <w:left w:val="nil"/>
              <w:bottom w:val="single" w:color="000000" w:sz="12" w:space="0"/>
              <w:right w:val="nil"/>
            </w:tcBorders>
            <w:shd w:val="clear" w:color="auto" w:fill="FFFFFF"/>
            <w:noWrap/>
            <w:vAlign w:val="center"/>
          </w:tcPr>
          <w:p w14:paraId="7D5DCB0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-58.903</w:t>
            </w:r>
          </w:p>
        </w:tc>
        <w:tc>
          <w:tcPr>
            <w:tcW w:w="740" w:type="dxa"/>
            <w:tcBorders>
              <w:top w:val="nil"/>
              <w:left w:val="nil"/>
              <w:bottom w:val="single" w:color="000000" w:sz="12" w:space="0"/>
              <w:right w:val="nil"/>
            </w:tcBorders>
            <w:shd w:val="clear" w:color="auto" w:fill="FFFFFF"/>
            <w:noWrap/>
            <w:vAlign w:val="center"/>
          </w:tcPr>
          <w:p w14:paraId="0696D869">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438" w:type="pct"/>
            <w:tcBorders>
              <w:top w:val="nil"/>
              <w:left w:val="nil"/>
              <w:bottom w:val="single" w:color="000000" w:sz="12" w:space="0"/>
              <w:right w:val="nil"/>
            </w:tcBorders>
            <w:shd w:val="clear" w:color="auto" w:fill="FFFFFF"/>
            <w:noWrap/>
            <w:vAlign w:val="center"/>
          </w:tcPr>
          <w:p w14:paraId="7DC42BF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-0.637</w:t>
            </w:r>
          </w:p>
        </w:tc>
        <w:tc>
          <w:tcPr>
            <w:tcW w:w="438" w:type="pct"/>
            <w:tcBorders>
              <w:top w:val="nil"/>
              <w:left w:val="nil"/>
              <w:bottom w:val="single" w:color="000000" w:sz="12" w:space="0"/>
              <w:right w:val="nil"/>
            </w:tcBorders>
            <w:shd w:val="clear" w:color="auto" w:fill="FFFFFF"/>
            <w:noWrap/>
            <w:vAlign w:val="center"/>
          </w:tcPr>
          <w:p w14:paraId="46E256A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-0.595</w:t>
            </w:r>
          </w:p>
        </w:tc>
      </w:tr>
    </w:tbl>
    <w:p w14:paraId="7F3800B9">
      <w:pP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Note. R-Sq Chng : F(1 , 56) = 3469.539 , p &lt; .001.</w:t>
      </w:r>
    </w:p>
    <w:p w14:paraId="73CE40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构建的多元回归模型拟合结果（表2）表明，回归模型拟合良好（</w:t>
      </w:r>
      <w:r>
        <w:rPr>
          <w:rFonts w:hint="default" w:ascii="方正仿宋_GB2312" w:hAnsi="方正仿宋_GB2312" w:eastAsia="方正仿宋_GB2312" w:cs="方正仿宋_GB2312"/>
          <w:sz w:val="21"/>
          <w:szCs w:val="21"/>
          <w:lang w:val="en-US" w:eastAsia="zh-CN"/>
        </w:rPr>
        <w:t>R-Sq = 0.997 , F(3,56)=6627.059 , p &lt; .001</w:t>
      </w:r>
      <w:r>
        <w:rPr>
          <w:rFonts w:hint="eastAsia" w:ascii="方正仿宋_GB2312" w:hAnsi="方正仿宋_GB2312" w:eastAsia="方正仿宋_GB2312" w:cs="方正仿宋_GB2312"/>
          <w:sz w:val="21"/>
          <w:szCs w:val="21"/>
          <w:lang w:val="en-US" w:eastAsia="zh-CN"/>
        </w:rPr>
        <w:t>,</w:t>
      </w:r>
      <w:r>
        <w:rPr>
          <w:rFonts w:hint="default" w:ascii="方正仿宋_GB2312" w:hAnsi="方正仿宋_GB2312" w:eastAsia="方正仿宋_GB2312" w:cs="方正仿宋_GB2312"/>
          <w:sz w:val="21"/>
          <w:szCs w:val="21"/>
          <w:lang w:val="en-US" w:eastAsia="zh-CN"/>
        </w:rPr>
        <w:t xml:space="preserve"> R-Sq</w:t>
      </w:r>
      <w:r>
        <w:rPr>
          <w:rFonts w:hint="eastAsia" w:ascii="方正仿宋_GB2312" w:hAnsi="方正仿宋_GB2312" w:eastAsia="方正仿宋_GB2312" w:cs="方正仿宋_GB2312"/>
          <w:sz w:val="21"/>
          <w:szCs w:val="21"/>
          <w:lang w:val="en-US" w:eastAsia="zh-CN"/>
        </w:rPr>
        <w:t>显著：</w:t>
      </w:r>
      <w:r>
        <w:rPr>
          <w:rFonts w:hint="default" w:ascii="宋体" w:hAnsi="宋体" w:eastAsia="宋体" w:cs="宋体"/>
          <w:sz w:val="18"/>
          <w:szCs w:val="18"/>
          <w:lang w:val="en-US" w:eastAsia="zh-CN"/>
        </w:rPr>
        <w:t>F(1 , 56) = 3469.539 , p &lt; .001.</w:t>
      </w:r>
      <w:r>
        <w:rPr>
          <w:rFonts w:hint="eastAsia" w:ascii="方正仿宋_GB2312" w:hAnsi="方正仿宋_GB2312" w:eastAsia="方正仿宋_GB2312" w:cs="方正仿宋_GB2312"/>
          <w:sz w:val="21"/>
          <w:szCs w:val="21"/>
          <w:lang w:val="en-US" w:eastAsia="zh-CN"/>
        </w:rPr>
        <w:t>）。</w:t>
      </w:r>
    </w:p>
    <w:p w14:paraId="132498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方正仿宋_GB2312" w:hAnsi="方正仿宋_GB2312" w:eastAsia="方正仿宋_GB2312" w:cs="方正仿宋_GB2312"/>
          <w:sz w:val="21"/>
          <w:szCs w:val="21"/>
          <w:lang w:val="en-US" w:eastAsia="zh-CN"/>
        </w:rPr>
      </w:pPr>
    </w:p>
    <w:p w14:paraId="528D643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b/>
          <w:bCs/>
          <w:i w:val="0"/>
          <w:iCs w:val="0"/>
          <w:sz w:val="18"/>
          <w:szCs w:val="18"/>
          <w:lang w:val="en-US" w:eastAsia="zh-CN"/>
        </w:rPr>
      </w:pPr>
      <w:r>
        <w:rPr>
          <w:rFonts w:hint="eastAsia" w:ascii="宋体" w:hAnsi="宋体" w:eastAsia="宋体" w:cs="宋体"/>
          <w:b/>
          <w:bCs/>
          <w:i w:val="0"/>
          <w:iCs w:val="0"/>
          <w:sz w:val="18"/>
          <w:szCs w:val="18"/>
          <w:lang w:val="en-US" w:eastAsia="zh-CN"/>
        </w:rPr>
        <w:t>Table</w:t>
      </w:r>
      <w:r>
        <w:rPr>
          <w:rFonts w:hint="default" w:ascii="宋体" w:hAnsi="宋体" w:eastAsia="宋体" w:cs="宋体"/>
          <w:b/>
          <w:bCs/>
          <w:i w:val="0"/>
          <w:iCs w:val="0"/>
          <w:sz w:val="18"/>
          <w:szCs w:val="18"/>
          <w:lang w:val="en-US" w:eastAsia="zh-CN"/>
        </w:rPr>
        <w:t xml:space="preserve"> 3</w:t>
      </w:r>
      <w:r>
        <w:rPr>
          <w:rFonts w:hint="eastAsia" w:ascii="宋体" w:hAnsi="宋体" w:eastAsia="宋体" w:cs="宋体"/>
          <w:b/>
          <w:bCs/>
          <w:i w:val="0"/>
          <w:iCs w:val="0"/>
          <w:sz w:val="18"/>
          <w:szCs w:val="18"/>
          <w:lang w:val="en-US" w:eastAsia="zh-CN"/>
        </w:rPr>
        <w:t xml:space="preserve"> </w:t>
      </w:r>
    </w:p>
    <w:p w14:paraId="48E8EF6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eastAsia="宋体" w:cs="宋体"/>
          <w:i/>
          <w:iCs/>
          <w:sz w:val="18"/>
          <w:szCs w:val="18"/>
          <w:lang w:val="en-US" w:eastAsia="zh-CN"/>
        </w:rPr>
      </w:pPr>
      <w:r>
        <w:rPr>
          <w:rFonts w:hint="eastAsia" w:ascii="宋体" w:hAnsi="宋体" w:eastAsia="宋体" w:cs="宋体"/>
          <w:i/>
          <w:iCs/>
          <w:sz w:val="18"/>
          <w:szCs w:val="18"/>
          <w:lang w:val="en-US" w:eastAsia="zh-CN"/>
        </w:rPr>
        <w:t>Conditional effects of the focal predictor at values of the moderator</w:t>
      </w:r>
    </w:p>
    <w:p w14:paraId="08B2E4D9">
      <w:pPr>
        <w:keepNext w:val="0"/>
        <w:keepLines w:val="0"/>
        <w:pageBreakBefore w:val="0"/>
        <w:widowControl w:val="0"/>
        <w:kinsoku/>
        <w:wordWrap/>
        <w:overflowPunct/>
        <w:topLinePunct w:val="0"/>
        <w:autoSpaceDE/>
        <w:autoSpaceDN/>
        <w:bidi w:val="0"/>
        <w:adjustRightInd/>
        <w:snapToGrid/>
        <w:spacing w:line="360" w:lineRule="auto"/>
        <w:ind w:firstLine="0" w:firstLineChars="0"/>
        <w:jc w:val="right"/>
        <w:textAlignment w:val="auto"/>
        <w:rPr>
          <w:rFonts w:hint="default" w:ascii="宋体" w:hAnsi="宋体" w:eastAsia="宋体" w:cs="宋体"/>
          <w:i/>
          <w:iCs/>
          <w:sz w:val="18"/>
          <w:szCs w:val="18"/>
          <w:lang w:val="en-US" w:eastAsia="zh-CN"/>
        </w:rPr>
      </w:pPr>
      <w:r>
        <w:rPr>
          <w:rFonts w:hint="default" w:ascii="宋体" w:hAnsi="宋体" w:eastAsia="宋体" w:cs="宋体"/>
          <w:i/>
          <w:iCs/>
          <w:sz w:val="18"/>
          <w:szCs w:val="18"/>
          <w:lang w:val="en-US" w:eastAsia="zh-CN"/>
        </w:rPr>
        <w:t>V</w:t>
      </w:r>
      <w:r>
        <w:rPr>
          <w:rFonts w:hint="eastAsia" w:ascii="宋体" w:hAnsi="宋体" w:eastAsia="宋体" w:cs="宋体"/>
          <w:i/>
          <w:iCs/>
          <w:sz w:val="18"/>
          <w:szCs w:val="18"/>
          <w:lang w:val="en-US" w:eastAsia="zh-CN"/>
        </w:rPr>
        <w:t xml:space="preserve">alues of the </w:t>
      </w:r>
      <w:r>
        <w:rPr>
          <w:rFonts w:hint="default" w:ascii="宋体" w:hAnsi="宋体" w:eastAsia="宋体" w:cs="宋体"/>
          <w:i/>
          <w:iCs/>
          <w:sz w:val="18"/>
          <w:szCs w:val="18"/>
          <w:lang w:val="en-US" w:eastAsia="zh-CN"/>
        </w:rPr>
        <w:t>M</w:t>
      </w:r>
      <w:r>
        <w:rPr>
          <w:rFonts w:hint="eastAsia" w:ascii="宋体" w:hAnsi="宋体" w:eastAsia="宋体" w:cs="宋体"/>
          <w:i/>
          <w:iCs/>
          <w:sz w:val="18"/>
          <w:szCs w:val="18"/>
          <w:lang w:val="en-US" w:eastAsia="zh-CN"/>
        </w:rPr>
        <w:t>oderator</w:t>
      </w:r>
      <w:r>
        <w:rPr>
          <w:rFonts w:hint="default" w:ascii="宋体" w:hAnsi="宋体" w:eastAsia="宋体" w:cs="宋体"/>
          <w:i/>
          <w:iCs/>
          <w:sz w:val="18"/>
          <w:szCs w:val="18"/>
          <w:lang w:val="en-US" w:eastAsia="zh-CN"/>
        </w:rPr>
        <w:t>:M-SD,M+SD</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17"/>
        <w:gridCol w:w="1217"/>
        <w:gridCol w:w="1217"/>
        <w:gridCol w:w="1217"/>
        <w:gridCol w:w="1217"/>
        <w:gridCol w:w="1217"/>
        <w:gridCol w:w="1217"/>
      </w:tblGrid>
      <w:tr w14:paraId="185A0EE5">
        <w:trPr>
          <w:trHeight w:val="352" w:hRule="atLeast"/>
        </w:trPr>
        <w:tc>
          <w:tcPr>
            <w:tcW w:w="714" w:type="pct"/>
            <w:tcBorders>
              <w:top w:val="single" w:color="000000" w:sz="12" w:space="0"/>
              <w:left w:val="nil"/>
              <w:bottom w:val="single" w:color="000000" w:sz="4" w:space="0"/>
              <w:right w:val="nil"/>
              <w:tl2br w:val="nil"/>
            </w:tcBorders>
            <w:shd w:val="clear" w:color="auto" w:fill="FFFFFF"/>
            <w:noWrap/>
            <w:vAlign w:val="center"/>
          </w:tcPr>
          <w:p w14:paraId="7D1DF677">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Pre_MC</w:t>
            </w:r>
          </w:p>
        </w:tc>
        <w:tc>
          <w:tcPr>
            <w:tcW w:w="714" w:type="pct"/>
            <w:tcBorders>
              <w:top w:val="single" w:color="000000" w:sz="12" w:space="0"/>
              <w:left w:val="nil"/>
              <w:bottom w:val="single" w:color="000000" w:sz="4" w:space="0"/>
              <w:right w:val="nil"/>
            </w:tcBorders>
            <w:shd w:val="clear" w:color="auto" w:fill="FFFFFF"/>
            <w:noWrap/>
            <w:vAlign w:val="center"/>
          </w:tcPr>
          <w:p w14:paraId="5B46713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Effect</w:t>
            </w:r>
          </w:p>
        </w:tc>
        <w:tc>
          <w:tcPr>
            <w:tcW w:w="714" w:type="pct"/>
            <w:tcBorders>
              <w:top w:val="single" w:color="000000" w:sz="12" w:space="0"/>
              <w:left w:val="nil"/>
              <w:bottom w:val="single" w:color="000000" w:sz="4" w:space="0"/>
              <w:right w:val="nil"/>
            </w:tcBorders>
            <w:shd w:val="clear" w:color="auto" w:fill="FFFFFF"/>
            <w:noWrap/>
            <w:vAlign w:val="center"/>
          </w:tcPr>
          <w:p w14:paraId="5D45E8E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se</w:t>
            </w:r>
          </w:p>
        </w:tc>
        <w:tc>
          <w:tcPr>
            <w:tcW w:w="714" w:type="pct"/>
            <w:tcBorders>
              <w:top w:val="single" w:color="000000" w:sz="12" w:space="0"/>
              <w:left w:val="nil"/>
              <w:bottom w:val="single" w:color="000000" w:sz="4" w:space="0"/>
              <w:right w:val="nil"/>
            </w:tcBorders>
            <w:shd w:val="clear" w:color="auto" w:fill="FFFFFF"/>
            <w:noWrap/>
            <w:vAlign w:val="center"/>
          </w:tcPr>
          <w:p w14:paraId="315E5F0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t</w:t>
            </w:r>
          </w:p>
        </w:tc>
        <w:tc>
          <w:tcPr>
            <w:tcW w:w="714" w:type="pct"/>
            <w:tcBorders>
              <w:top w:val="single" w:color="000000" w:sz="12" w:space="0"/>
              <w:left w:val="nil"/>
              <w:bottom w:val="single" w:color="000000" w:sz="4" w:space="0"/>
              <w:right w:val="nil"/>
            </w:tcBorders>
            <w:shd w:val="clear" w:color="auto" w:fill="FFFFFF"/>
            <w:noWrap/>
            <w:vAlign w:val="center"/>
          </w:tcPr>
          <w:p w14:paraId="1C47577D">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p</w:t>
            </w:r>
          </w:p>
        </w:tc>
        <w:tc>
          <w:tcPr>
            <w:tcW w:w="714" w:type="pct"/>
            <w:tcBorders>
              <w:top w:val="single" w:color="000000" w:sz="12" w:space="0"/>
              <w:left w:val="nil"/>
              <w:bottom w:val="single" w:color="000000" w:sz="4" w:space="0"/>
              <w:right w:val="nil"/>
            </w:tcBorders>
            <w:shd w:val="clear" w:color="auto" w:fill="FFFFFF"/>
            <w:noWrap/>
            <w:vAlign w:val="center"/>
          </w:tcPr>
          <w:p w14:paraId="59DA2D62">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LLCI</w:t>
            </w:r>
          </w:p>
        </w:tc>
        <w:tc>
          <w:tcPr>
            <w:tcW w:w="714" w:type="pct"/>
            <w:tcBorders>
              <w:top w:val="single" w:color="000000" w:sz="12" w:space="0"/>
              <w:left w:val="nil"/>
              <w:bottom w:val="single" w:color="000000" w:sz="4" w:space="0"/>
              <w:right w:val="nil"/>
            </w:tcBorders>
            <w:shd w:val="clear" w:color="auto" w:fill="FFFFFF"/>
            <w:noWrap/>
            <w:vAlign w:val="center"/>
          </w:tcPr>
          <w:p w14:paraId="1B63B6E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ULCI</w:t>
            </w:r>
          </w:p>
        </w:tc>
      </w:tr>
      <w:tr w14:paraId="25657CC5">
        <w:trPr>
          <w:trHeight w:val="352" w:hRule="atLeast"/>
        </w:trPr>
        <w:tc>
          <w:tcPr>
            <w:tcW w:w="714" w:type="pct"/>
            <w:tcBorders>
              <w:top w:val="single" w:color="000000" w:sz="4" w:space="0"/>
              <w:left w:val="nil"/>
              <w:bottom w:val="nil"/>
              <w:right w:val="nil"/>
            </w:tcBorders>
            <w:shd w:val="clear" w:color="auto" w:fill="FFFFFF"/>
            <w:noWrap/>
            <w:vAlign w:val="center"/>
          </w:tcPr>
          <w:p w14:paraId="32A1F5E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-1.739</w:t>
            </w:r>
          </w:p>
        </w:tc>
        <w:tc>
          <w:tcPr>
            <w:tcW w:w="714" w:type="pct"/>
            <w:tcBorders>
              <w:top w:val="single" w:color="000000" w:sz="4" w:space="0"/>
              <w:left w:val="nil"/>
              <w:bottom w:val="nil"/>
              <w:right w:val="nil"/>
            </w:tcBorders>
            <w:shd w:val="clear" w:color="auto" w:fill="FFFFFF"/>
            <w:noWrap/>
            <w:vAlign w:val="center"/>
          </w:tcPr>
          <w:p w14:paraId="5452D521">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2.306</w:t>
            </w:r>
          </w:p>
        </w:tc>
        <w:tc>
          <w:tcPr>
            <w:tcW w:w="714" w:type="pct"/>
            <w:tcBorders>
              <w:top w:val="single" w:color="000000" w:sz="4" w:space="0"/>
              <w:left w:val="nil"/>
              <w:bottom w:val="nil"/>
              <w:right w:val="nil"/>
            </w:tcBorders>
            <w:shd w:val="clear" w:color="auto" w:fill="FFFFFF"/>
            <w:noWrap/>
            <w:vAlign w:val="center"/>
          </w:tcPr>
          <w:p w14:paraId="5D31709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0.026</w:t>
            </w:r>
          </w:p>
        </w:tc>
        <w:tc>
          <w:tcPr>
            <w:tcW w:w="714" w:type="pct"/>
            <w:tcBorders>
              <w:top w:val="single" w:color="000000" w:sz="4" w:space="0"/>
              <w:left w:val="nil"/>
              <w:bottom w:val="nil"/>
              <w:right w:val="nil"/>
            </w:tcBorders>
            <w:shd w:val="clear" w:color="auto" w:fill="FFFFFF"/>
            <w:noWrap/>
            <w:vAlign w:val="center"/>
          </w:tcPr>
          <w:p w14:paraId="51AA0B2E">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90.045</w:t>
            </w:r>
          </w:p>
        </w:tc>
        <w:tc>
          <w:tcPr>
            <w:tcW w:w="714" w:type="pct"/>
            <w:tcBorders>
              <w:top w:val="single" w:color="000000" w:sz="4" w:space="0"/>
              <w:left w:val="nil"/>
              <w:bottom w:val="nil"/>
              <w:right w:val="nil"/>
            </w:tcBorders>
            <w:shd w:val="clear" w:color="auto" w:fill="FFFFFF"/>
            <w:noWrap/>
            <w:vAlign w:val="center"/>
          </w:tcPr>
          <w:p w14:paraId="601791F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714" w:type="pct"/>
            <w:tcBorders>
              <w:top w:val="single" w:color="000000" w:sz="4" w:space="0"/>
              <w:left w:val="nil"/>
              <w:bottom w:val="nil"/>
              <w:right w:val="nil"/>
            </w:tcBorders>
            <w:shd w:val="clear" w:color="auto" w:fill="FFFFFF"/>
            <w:noWrap/>
            <w:vAlign w:val="center"/>
          </w:tcPr>
          <w:p w14:paraId="44802010">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2.254</w:t>
            </w:r>
          </w:p>
        </w:tc>
        <w:tc>
          <w:tcPr>
            <w:tcW w:w="714" w:type="pct"/>
            <w:tcBorders>
              <w:top w:val="single" w:color="000000" w:sz="4" w:space="0"/>
              <w:left w:val="nil"/>
              <w:bottom w:val="nil"/>
              <w:right w:val="nil"/>
            </w:tcBorders>
            <w:shd w:val="clear" w:color="auto" w:fill="FFFFFF"/>
            <w:noWrap/>
            <w:vAlign w:val="center"/>
          </w:tcPr>
          <w:p w14:paraId="4A073C9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2.357</w:t>
            </w:r>
          </w:p>
        </w:tc>
      </w:tr>
      <w:tr w14:paraId="5C6004EA">
        <w:trPr>
          <w:trHeight w:val="352" w:hRule="atLeast"/>
        </w:trPr>
        <w:tc>
          <w:tcPr>
            <w:tcW w:w="714" w:type="pct"/>
            <w:tcBorders>
              <w:top w:val="nil"/>
              <w:left w:val="nil"/>
              <w:bottom w:val="nil"/>
              <w:right w:val="nil"/>
            </w:tcBorders>
            <w:shd w:val="clear" w:color="auto" w:fill="FFFFFF"/>
            <w:noWrap/>
            <w:vAlign w:val="center"/>
          </w:tcPr>
          <w:p w14:paraId="3995D5C0">
            <w:pPr>
              <w:keepNext w:val="0"/>
              <w:keepLines w:val="0"/>
              <w:widowControl/>
              <w:suppressLineNumbers w:val="0"/>
              <w:jc w:val="center"/>
              <w:textAlignment w:val="center"/>
              <w:rPr>
                <w:rFonts w:hint="default"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kern w:val="0"/>
                <w:sz w:val="18"/>
                <w:szCs w:val="18"/>
                <w:u w:val="none"/>
                <w:bdr w:val="none" w:color="auto" w:sz="0" w:space="0"/>
                <w:lang w:val="en-US" w:eastAsia="zh-CN" w:bidi="ar"/>
              </w:rPr>
              <w:t>0</w:t>
            </w:r>
            <w:r>
              <w:rPr>
                <w:rFonts w:hint="default" w:ascii="宋体" w:hAnsi="宋体" w:eastAsia="宋体" w:cs="宋体"/>
                <w:b w:val="0"/>
                <w:i w:val="0"/>
                <w:iCs w:val="0"/>
                <w:color w:val="000000"/>
                <w:kern w:val="0"/>
                <w:sz w:val="18"/>
                <w:szCs w:val="18"/>
                <w:u w:val="none"/>
                <w:bdr w:val="none" w:color="auto" w:sz="0" w:space="0"/>
                <w:lang w:val="en-US" w:eastAsia="zh-CN" w:bidi="ar"/>
              </w:rPr>
              <w:t>.000</w:t>
            </w:r>
          </w:p>
        </w:tc>
        <w:tc>
          <w:tcPr>
            <w:tcW w:w="714" w:type="pct"/>
            <w:tcBorders>
              <w:top w:val="nil"/>
              <w:left w:val="nil"/>
              <w:bottom w:val="nil"/>
              <w:right w:val="nil"/>
            </w:tcBorders>
            <w:shd w:val="clear" w:color="auto" w:fill="FFFFFF"/>
            <w:noWrap/>
            <w:vAlign w:val="center"/>
          </w:tcPr>
          <w:p w14:paraId="151B70FF">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1.233</w:t>
            </w:r>
          </w:p>
        </w:tc>
        <w:tc>
          <w:tcPr>
            <w:tcW w:w="714" w:type="pct"/>
            <w:tcBorders>
              <w:top w:val="nil"/>
              <w:left w:val="nil"/>
              <w:bottom w:val="nil"/>
              <w:right w:val="nil"/>
            </w:tcBorders>
            <w:shd w:val="clear" w:color="auto" w:fill="FFFFFF"/>
            <w:noWrap/>
            <w:vAlign w:val="center"/>
          </w:tcPr>
          <w:p w14:paraId="037C415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0.018</w:t>
            </w:r>
          </w:p>
        </w:tc>
        <w:tc>
          <w:tcPr>
            <w:tcW w:w="714" w:type="pct"/>
            <w:tcBorders>
              <w:top w:val="nil"/>
              <w:left w:val="nil"/>
              <w:bottom w:val="nil"/>
              <w:right w:val="nil"/>
            </w:tcBorders>
            <w:shd w:val="clear" w:color="auto" w:fill="FFFFFF"/>
            <w:noWrap/>
            <w:vAlign w:val="center"/>
          </w:tcPr>
          <w:p w14:paraId="18D8C69C">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68.374</w:t>
            </w:r>
          </w:p>
        </w:tc>
        <w:tc>
          <w:tcPr>
            <w:tcW w:w="714" w:type="pct"/>
            <w:tcBorders>
              <w:top w:val="nil"/>
              <w:left w:val="nil"/>
              <w:bottom w:val="nil"/>
              <w:right w:val="nil"/>
            </w:tcBorders>
            <w:shd w:val="clear" w:color="auto" w:fill="FFFFFF"/>
            <w:noWrap/>
            <w:vAlign w:val="center"/>
          </w:tcPr>
          <w:p w14:paraId="028BA04B">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714" w:type="pct"/>
            <w:tcBorders>
              <w:top w:val="nil"/>
              <w:left w:val="nil"/>
              <w:bottom w:val="nil"/>
              <w:right w:val="nil"/>
            </w:tcBorders>
            <w:shd w:val="clear" w:color="auto" w:fill="FFFFFF"/>
            <w:noWrap/>
            <w:vAlign w:val="center"/>
          </w:tcPr>
          <w:p w14:paraId="61BC952E">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1.197</w:t>
            </w:r>
          </w:p>
        </w:tc>
        <w:tc>
          <w:tcPr>
            <w:tcW w:w="714" w:type="pct"/>
            <w:tcBorders>
              <w:top w:val="nil"/>
              <w:left w:val="nil"/>
              <w:bottom w:val="nil"/>
              <w:right w:val="nil"/>
            </w:tcBorders>
            <w:shd w:val="clear" w:color="auto" w:fill="FFFFFF"/>
            <w:noWrap/>
            <w:vAlign w:val="center"/>
          </w:tcPr>
          <w:p w14:paraId="3C62A75C">
            <w:pPr>
              <w:keepNext w:val="0"/>
              <w:keepLines w:val="0"/>
              <w:widowControl/>
              <w:suppressLineNumbers w:val="0"/>
              <w:jc w:val="center"/>
              <w:textAlignment w:val="center"/>
              <w:rPr>
                <w:rFonts w:hint="default"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kern w:val="0"/>
                <w:sz w:val="18"/>
                <w:szCs w:val="18"/>
                <w:u w:val="none"/>
                <w:bdr w:val="none" w:color="auto" w:sz="0" w:space="0"/>
                <w:lang w:val="en-US" w:eastAsia="zh-CN" w:bidi="ar"/>
              </w:rPr>
              <w:t>1.27</w:t>
            </w:r>
            <w:r>
              <w:rPr>
                <w:rFonts w:hint="default" w:ascii="宋体" w:hAnsi="宋体" w:eastAsia="宋体" w:cs="宋体"/>
                <w:b w:val="0"/>
                <w:i w:val="0"/>
                <w:iCs w:val="0"/>
                <w:color w:val="000000"/>
                <w:kern w:val="0"/>
                <w:sz w:val="18"/>
                <w:szCs w:val="18"/>
                <w:u w:val="none"/>
                <w:bdr w:val="none" w:color="auto" w:sz="0" w:space="0"/>
                <w:lang w:val="en-US" w:eastAsia="zh-CN" w:bidi="ar"/>
              </w:rPr>
              <w:t>0</w:t>
            </w:r>
          </w:p>
        </w:tc>
      </w:tr>
      <w:tr w14:paraId="2E858B5C">
        <w:trPr>
          <w:trHeight w:val="352" w:hRule="atLeast"/>
        </w:trPr>
        <w:tc>
          <w:tcPr>
            <w:tcW w:w="714" w:type="pct"/>
            <w:tcBorders>
              <w:top w:val="nil"/>
              <w:left w:val="nil"/>
              <w:bottom w:val="single" w:color="000000" w:sz="12" w:space="0"/>
              <w:right w:val="nil"/>
            </w:tcBorders>
            <w:shd w:val="clear" w:color="auto" w:fill="FFFFFF"/>
            <w:noWrap/>
            <w:vAlign w:val="center"/>
          </w:tcPr>
          <w:p w14:paraId="18E7CEB5">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1.739</w:t>
            </w:r>
          </w:p>
        </w:tc>
        <w:tc>
          <w:tcPr>
            <w:tcW w:w="714" w:type="pct"/>
            <w:tcBorders>
              <w:top w:val="nil"/>
              <w:left w:val="nil"/>
              <w:bottom w:val="single" w:color="000000" w:sz="12" w:space="0"/>
              <w:right w:val="nil"/>
            </w:tcBorders>
            <w:shd w:val="clear" w:color="auto" w:fill="FFFFFF"/>
            <w:noWrap/>
            <w:vAlign w:val="center"/>
          </w:tcPr>
          <w:p w14:paraId="652B0D6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0.161</w:t>
            </w:r>
          </w:p>
        </w:tc>
        <w:tc>
          <w:tcPr>
            <w:tcW w:w="714" w:type="pct"/>
            <w:tcBorders>
              <w:top w:val="nil"/>
              <w:left w:val="nil"/>
              <w:bottom w:val="single" w:color="000000" w:sz="12" w:space="0"/>
              <w:right w:val="nil"/>
            </w:tcBorders>
            <w:shd w:val="clear" w:color="auto" w:fill="FFFFFF"/>
            <w:noWrap/>
            <w:vAlign w:val="center"/>
          </w:tcPr>
          <w:p w14:paraId="4C4302A4">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0.026</w:t>
            </w:r>
          </w:p>
        </w:tc>
        <w:tc>
          <w:tcPr>
            <w:tcW w:w="714" w:type="pct"/>
            <w:tcBorders>
              <w:top w:val="nil"/>
              <w:left w:val="nil"/>
              <w:bottom w:val="single" w:color="000000" w:sz="12" w:space="0"/>
              <w:right w:val="nil"/>
            </w:tcBorders>
            <w:shd w:val="clear" w:color="auto" w:fill="FFFFFF"/>
            <w:noWrap/>
            <w:vAlign w:val="center"/>
          </w:tcPr>
          <w:p w14:paraId="6C5F6DC8">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6.285</w:t>
            </w:r>
          </w:p>
        </w:tc>
        <w:tc>
          <w:tcPr>
            <w:tcW w:w="714" w:type="pct"/>
            <w:tcBorders>
              <w:top w:val="nil"/>
              <w:left w:val="nil"/>
              <w:bottom w:val="single" w:color="000000" w:sz="12" w:space="0"/>
              <w:right w:val="nil"/>
            </w:tcBorders>
            <w:shd w:val="clear" w:color="auto" w:fill="FFFFFF"/>
            <w:noWrap/>
            <w:vAlign w:val="center"/>
          </w:tcPr>
          <w:p w14:paraId="53580E32">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default" w:ascii="宋体" w:hAnsi="宋体" w:eastAsia="宋体" w:cs="宋体"/>
                <w:b w:val="0"/>
                <w:i w:val="0"/>
                <w:iCs w:val="0"/>
                <w:color w:val="000000"/>
                <w:sz w:val="18"/>
                <w:szCs w:val="18"/>
                <w:u w:val="none"/>
                <w:lang w:val="en-US"/>
              </w:rPr>
              <w:t>&lt; .001</w:t>
            </w:r>
          </w:p>
        </w:tc>
        <w:tc>
          <w:tcPr>
            <w:tcW w:w="714" w:type="pct"/>
            <w:tcBorders>
              <w:top w:val="nil"/>
              <w:left w:val="nil"/>
              <w:bottom w:val="single" w:color="000000" w:sz="12" w:space="0"/>
              <w:right w:val="nil"/>
            </w:tcBorders>
            <w:shd w:val="clear" w:color="auto" w:fill="FFFFFF"/>
            <w:noWrap/>
            <w:vAlign w:val="center"/>
          </w:tcPr>
          <w:p w14:paraId="2A08B423">
            <w:pPr>
              <w:keepNext w:val="0"/>
              <w:keepLines w:val="0"/>
              <w:widowControl/>
              <w:suppressLineNumbers w:val="0"/>
              <w:jc w:val="center"/>
              <w:textAlignment w:val="center"/>
              <w:rPr>
                <w:rFonts w:hint="default" w:ascii="宋体" w:hAnsi="宋体" w:eastAsia="宋体" w:cs="宋体"/>
                <w:b w:val="0"/>
                <w:i w:val="0"/>
                <w:iCs w:val="0"/>
                <w:color w:val="000000"/>
                <w:sz w:val="18"/>
                <w:szCs w:val="18"/>
                <w:u w:val="none"/>
                <w:lang w:val="en-US"/>
              </w:rPr>
            </w:pPr>
            <w:r>
              <w:rPr>
                <w:rFonts w:hint="eastAsia" w:ascii="宋体" w:hAnsi="宋体" w:eastAsia="宋体" w:cs="宋体"/>
                <w:b w:val="0"/>
                <w:i w:val="0"/>
                <w:iCs w:val="0"/>
                <w:color w:val="000000"/>
                <w:kern w:val="0"/>
                <w:sz w:val="18"/>
                <w:szCs w:val="18"/>
                <w:u w:val="none"/>
                <w:bdr w:val="none" w:color="auto" w:sz="0" w:space="0"/>
                <w:lang w:val="en-US" w:eastAsia="zh-CN" w:bidi="ar"/>
              </w:rPr>
              <w:t>0.11</w:t>
            </w:r>
            <w:r>
              <w:rPr>
                <w:rFonts w:hint="default" w:ascii="宋体" w:hAnsi="宋体" w:eastAsia="宋体" w:cs="宋体"/>
                <w:b w:val="0"/>
                <w:i w:val="0"/>
                <w:iCs w:val="0"/>
                <w:color w:val="000000"/>
                <w:kern w:val="0"/>
                <w:sz w:val="18"/>
                <w:szCs w:val="18"/>
                <w:u w:val="none"/>
                <w:bdr w:val="none" w:color="auto" w:sz="0" w:space="0"/>
                <w:lang w:val="en-US" w:eastAsia="zh-CN" w:bidi="ar"/>
              </w:rPr>
              <w:t>0</w:t>
            </w:r>
          </w:p>
        </w:tc>
        <w:tc>
          <w:tcPr>
            <w:tcW w:w="714" w:type="pct"/>
            <w:tcBorders>
              <w:top w:val="nil"/>
              <w:left w:val="nil"/>
              <w:bottom w:val="single" w:color="000000" w:sz="12" w:space="0"/>
              <w:right w:val="nil"/>
            </w:tcBorders>
            <w:shd w:val="clear" w:color="auto" w:fill="FFFFFF"/>
            <w:noWrap/>
            <w:vAlign w:val="center"/>
          </w:tcPr>
          <w:p w14:paraId="529969AA">
            <w:pPr>
              <w:keepNext w:val="0"/>
              <w:keepLines w:val="0"/>
              <w:widowControl/>
              <w:suppressLineNumbers w:val="0"/>
              <w:jc w:val="center"/>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bdr w:val="none" w:color="auto" w:sz="0" w:space="0"/>
                <w:lang w:val="en-US" w:eastAsia="zh-CN" w:bidi="ar"/>
              </w:rPr>
              <w:t>0.213</w:t>
            </w:r>
          </w:p>
        </w:tc>
      </w:tr>
    </w:tbl>
    <w:p w14:paraId="1D11B450">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宋体" w:hAnsi="宋体" w:eastAsia="宋体" w:cs="宋体"/>
          <w:b w:val="0"/>
          <w:bCs w:val="0"/>
          <w:i w:val="0"/>
          <w:iCs w:val="0"/>
          <w:sz w:val="18"/>
          <w:szCs w:val="18"/>
          <w:lang w:val="en-US" w:eastAsia="zh-CN"/>
        </w:rPr>
      </w:pPr>
      <w:r>
        <w:rPr>
          <w:rFonts w:hint="default" w:ascii="宋体" w:hAnsi="宋体" w:eastAsia="宋体" w:cs="宋体"/>
          <w:b/>
          <w:bCs/>
          <w:i w:val="0"/>
          <w:iCs w:val="0"/>
          <w:sz w:val="18"/>
          <w:szCs w:val="18"/>
          <w:lang w:val="en-US" w:eastAsia="zh-CN"/>
        </w:rPr>
        <w:t xml:space="preserve">Figure 1 </w:t>
      </w:r>
      <w:r>
        <w:rPr>
          <w:rFonts w:hint="default" w:ascii="宋体" w:hAnsi="宋体" w:eastAsia="宋体" w:cs="宋体"/>
          <w:i/>
          <w:iCs/>
          <w:sz w:val="18"/>
          <w:szCs w:val="18"/>
          <w:lang w:val="en-US" w:eastAsia="zh-CN"/>
        </w:rPr>
        <w:t>Simple Slope Plot of Group Assignment on Post, Moderated by Pre</w:t>
      </w:r>
    </w:p>
    <w:p w14:paraId="5D815E99">
      <w:pPr>
        <w:jc w:val="center"/>
        <w:rPr>
          <w:rFonts w:hint="default"/>
          <w:lang w:val="en-US" w:eastAsia="zh-CN"/>
        </w:rPr>
      </w:pPr>
      <w:r>
        <w:drawing>
          <wp:inline distT="0" distB="0" distL="114300" distR="114300">
            <wp:extent cx="3460115" cy="2652395"/>
            <wp:effectExtent l="0" t="0" r="196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60115" cy="2652395"/>
                    </a:xfrm>
                    <a:prstGeom prst="rect">
                      <a:avLst/>
                    </a:prstGeom>
                    <a:noFill/>
                    <a:ln>
                      <a:noFill/>
                    </a:ln>
                  </pic:spPr>
                </pic:pic>
              </a:graphicData>
            </a:graphic>
          </wp:inline>
        </w:drawing>
      </w:r>
    </w:p>
    <w:p w14:paraId="7D55A3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简单斜率分析结果（表3、图1）显示，前测得分对分组与后测的关系存在显著调节效应，三个典型前测水平下的组间差异均具有统计学显著性（p &lt; .001）：低前测水平（中心化后取值-1.739，对应原始分4.6分，低于样本均值1个标准差）：实验组后测得分显著高于对照组2.306分，95%CI[2.254, 2.357]；中等前测水平（中心化后取值0，对应原始分6.3分，为样本均值水平）：实验组后测得分显著高于对照组1.233分，95%CI[1.197, 1.270]；高前测水平（中心化后取值1.739，对应原始分8.0分，高于样本均值1个标准差）：实验组后测得分仍显著高于对照组0.161分，95%CI[0.110, 0.213]。</w:t>
      </w:r>
    </w:p>
    <w:p w14:paraId="55369C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结果表明，随着前测基线水平提升，实验组的教学提升效果逐渐减弱，简单斜率图也验证了该趋势：低前测组（蓝色实线）从对照组到实验组的提升幅度远大于高前测组（紫色虚线）。</w:t>
      </w:r>
    </w:p>
    <w:p w14:paraId="738B73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default" w:ascii="方正仿宋_GB2312" w:hAnsi="方正仿宋_GB2312" w:eastAsia="方正仿宋_GB2312" w:cs="方正仿宋_GB2312"/>
          <w:sz w:val="21"/>
          <w:szCs w:val="21"/>
          <w:lang w:val="en-US" w:eastAsia="zh-CN"/>
        </w:rPr>
        <w:t xml:space="preserve">3. </w:t>
      </w:r>
      <w:r>
        <w:rPr>
          <w:rFonts w:hint="eastAsia" w:ascii="方正仿宋_GB2312" w:hAnsi="方正仿宋_GB2312" w:eastAsia="方正仿宋_GB2312" w:cs="方正仿宋_GB2312"/>
          <w:sz w:val="21"/>
          <w:szCs w:val="21"/>
          <w:lang w:val="en-US" w:eastAsia="zh-CN"/>
        </w:rPr>
        <w:t>为</w:t>
      </w:r>
      <w:r>
        <w:rPr>
          <w:rFonts w:hint="default" w:ascii="方正仿宋_GB2312" w:hAnsi="方正仿宋_GB2312" w:eastAsia="方正仿宋_GB2312" w:cs="方正仿宋_GB2312"/>
          <w:sz w:val="21"/>
          <w:szCs w:val="21"/>
          <w:lang w:val="en-US" w:eastAsia="zh-CN"/>
        </w:rPr>
        <w:t>保留协变量的连续信息</w:t>
      </w:r>
      <w:r>
        <w:rPr>
          <w:rFonts w:hint="eastAsia" w:ascii="方正仿宋_GB2312" w:hAnsi="方正仿宋_GB2312" w:eastAsia="方正仿宋_GB2312" w:cs="方正仿宋_GB2312"/>
          <w:sz w:val="21"/>
          <w:szCs w:val="21"/>
          <w:lang w:val="en-US" w:eastAsia="zh-CN"/>
        </w:rPr>
        <w:t>，</w:t>
      </w:r>
      <w:r>
        <w:rPr>
          <w:rFonts w:hint="default" w:ascii="方正仿宋_GB2312" w:hAnsi="方正仿宋_GB2312" w:eastAsia="方正仿宋_GB2312" w:cs="方正仿宋_GB2312"/>
          <w:sz w:val="21"/>
          <w:szCs w:val="21"/>
          <w:lang w:val="en-US" w:eastAsia="zh-CN"/>
        </w:rPr>
        <w:t>量化干预效应随协变量的变化趋势</w:t>
      </w:r>
      <w:r>
        <w:rPr>
          <w:rFonts w:hint="eastAsia" w:ascii="方正仿宋_GB2312" w:hAnsi="方正仿宋_GB2312" w:eastAsia="方正仿宋_GB2312" w:cs="方正仿宋_GB2312"/>
          <w:sz w:val="21"/>
          <w:szCs w:val="21"/>
          <w:lang w:val="en-US" w:eastAsia="zh-CN"/>
        </w:rPr>
        <w:t>，采用Johnson-Neyman法分析协变量（前测）不同取值范围下后测值组间的差异性。</w:t>
      </w:r>
    </w:p>
    <w:p w14:paraId="1DED62E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宋体" w:hAnsi="宋体" w:eastAsia="宋体" w:cs="宋体"/>
          <w:b/>
          <w:bCs/>
          <w:i w:val="0"/>
          <w:iCs w:val="0"/>
          <w:sz w:val="18"/>
          <w:szCs w:val="18"/>
          <w:lang w:val="en-US" w:eastAsia="zh-CN"/>
        </w:rPr>
      </w:pPr>
    </w:p>
    <w:p w14:paraId="1005EB51">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default" w:ascii="宋体" w:hAnsi="宋体" w:eastAsia="宋体" w:cs="宋体"/>
          <w:b w:val="0"/>
          <w:bCs w:val="0"/>
          <w:i w:val="0"/>
          <w:iCs w:val="0"/>
          <w:sz w:val="18"/>
          <w:szCs w:val="18"/>
          <w:lang w:val="en-US" w:eastAsia="zh-CN"/>
        </w:rPr>
      </w:pPr>
      <w:r>
        <w:rPr>
          <w:rFonts w:hint="default" w:ascii="宋体" w:hAnsi="宋体" w:eastAsia="宋体" w:cs="宋体"/>
          <w:b/>
          <w:bCs/>
          <w:i w:val="0"/>
          <w:iCs w:val="0"/>
          <w:sz w:val="18"/>
          <w:szCs w:val="18"/>
          <w:lang w:val="en-US" w:eastAsia="zh-CN"/>
        </w:rPr>
        <w:t xml:space="preserve">Figure </w:t>
      </w:r>
      <w:r>
        <w:rPr>
          <w:rFonts w:hint="eastAsia" w:ascii="宋体" w:hAnsi="宋体" w:eastAsia="宋体" w:cs="宋体"/>
          <w:b/>
          <w:bCs/>
          <w:i w:val="0"/>
          <w:iCs w:val="0"/>
          <w:sz w:val="18"/>
          <w:szCs w:val="18"/>
          <w:lang w:val="en-US" w:eastAsia="zh-CN"/>
        </w:rPr>
        <w:t>2</w:t>
      </w:r>
      <w:r>
        <w:rPr>
          <w:rFonts w:hint="default" w:ascii="宋体" w:hAnsi="宋体" w:eastAsia="宋体" w:cs="宋体"/>
          <w:b/>
          <w:bCs/>
          <w:i w:val="0"/>
          <w:iCs w:val="0"/>
          <w:sz w:val="18"/>
          <w:szCs w:val="18"/>
          <w:lang w:val="en-US" w:eastAsia="zh-CN"/>
        </w:rPr>
        <w:t xml:space="preserve"> </w:t>
      </w:r>
      <w:r>
        <w:rPr>
          <w:rFonts w:hint="eastAsia" w:ascii="宋体" w:hAnsi="宋体" w:eastAsia="宋体" w:cs="宋体"/>
          <w:i/>
          <w:iCs/>
          <w:sz w:val="18"/>
          <w:szCs w:val="18"/>
          <w:lang w:val="en-US" w:eastAsia="zh-CN"/>
        </w:rPr>
        <w:t>Johnson-Neyman Plot</w:t>
      </w:r>
    </w:p>
    <w:p w14:paraId="1914FC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drawing>
          <wp:inline distT="0" distB="0" distL="114300" distR="114300">
            <wp:extent cx="5268595" cy="2542540"/>
            <wp:effectExtent l="0" t="0" r="14605" b="228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8595" cy="2542540"/>
                    </a:xfrm>
                    <a:prstGeom prst="rect">
                      <a:avLst/>
                    </a:prstGeom>
                    <a:noFill/>
                    <a:ln>
                      <a:noFill/>
                    </a:ln>
                  </pic:spPr>
                </pic:pic>
              </a:graphicData>
            </a:graphic>
          </wp:inline>
        </w:drawing>
      </w:r>
    </w:p>
    <w:p w14:paraId="02DA8B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Johnson-Neyman法分析结果表明：基础薄弱/中等学生段（原始前测&lt;8.01分，对应Pre_MC&lt;1.91）：占总样本的81.7%，组间效应显著为正（p &lt; .05），实验组后测得分显著高于对照组，提升幅度为0.05~3.15分，前测基础越差提升效果越明显；过渡无差异区间（原始前测8.01~8.19分，对应Pre_MC在[1.91, 2.09]区间内）：仅占总样本的1.7%，组间效应无统计学显著性（p ≥ .05），两种教学法效果无差异；基础极优学生段（原始前测&gt;8.19分，对应Pre_MC&gt;2.09）：占总样本的16.6%，组间效应显著为负（p &lt; .05），对照组后测得分显著高于实验组，差值为0.06~0.55分，对于前测基础极好的学生，对照组效果更优。</w:t>
      </w:r>
    </w:p>
    <w:p w14:paraId="537176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方正仿宋_GB2312" w:hAnsi="方正仿宋_GB2312" w:eastAsia="方正仿宋_GB2312" w:cs="方正仿宋_GB2312"/>
          <w:sz w:val="21"/>
          <w:szCs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方正小标宋简体">
    <w:panose1 w:val="02000000000000000000"/>
    <w:charset w:val="86"/>
    <w:family w:val="auto"/>
    <w:pitch w:val="default"/>
    <w:sig w:usb0="00000001" w:usb1="0800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 w:name="Monospace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794E9"/>
    <w:rsid w:val="77F79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225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2026-06-19T11:44:00Z</dcterms:created>
  <dc:creator>王宁</dc:creator>
  <cp:lastModifiedBy>王宁</cp:lastModifiedBy>
  <dcterms:modified xsi:type="dcterms:W3CDTF">2026-06-19T17:03:15Z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4F604780EFA4CA2711BB346AD44C3896_41</vt:lpwstr>
  </property>
</Properties>
</file>