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3E199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1"/>
        <w:gridCol w:w="4728"/>
        <w:gridCol w:w="3393"/>
        <w:gridCol w:w="4482"/>
      </w:tblGrid>
      <w:tr w14:paraId="69ED1435">
        <w:tc>
          <w:tcPr>
            <w:tcW w:w="15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644AFD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18"/>
                <w:szCs w:val="18"/>
                <w:vertAlign w:val="baseline"/>
                <w:lang w:val="en-US"/>
              </w:rPr>
              <w:t>Test</w:t>
            </w:r>
          </w:p>
        </w:tc>
        <w:tc>
          <w:tcPr>
            <w:tcW w:w="472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25F6A6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18"/>
                <w:szCs w:val="18"/>
                <w:vertAlign w:val="baseline"/>
                <w:lang w:val="en-US"/>
              </w:rPr>
              <w:t>Use</w:t>
            </w:r>
          </w:p>
        </w:tc>
        <w:tc>
          <w:tcPr>
            <w:tcW w:w="339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B15A0B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18"/>
                <w:szCs w:val="18"/>
                <w:vertAlign w:val="baseline"/>
                <w:lang w:val="en-US"/>
              </w:rPr>
              <w:t>Assumptions</w:t>
            </w:r>
          </w:p>
        </w:tc>
        <w:tc>
          <w:tcPr>
            <w:tcW w:w="44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4D3D32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18"/>
                <w:szCs w:val="18"/>
                <w:vertAlign w:val="baseline"/>
                <w:lang w:val="en-US"/>
              </w:rPr>
              <w:t>Example Use Case</w:t>
            </w:r>
          </w:p>
        </w:tc>
      </w:tr>
      <w:tr w14:paraId="23EFE62A">
        <w:tc>
          <w:tcPr>
            <w:tcW w:w="1571" w:type="dxa"/>
            <w:tcBorders>
              <w:top w:val="single" w:color="000000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378A3C76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  <w:t>T-Test</w:t>
            </w:r>
          </w:p>
        </w:tc>
        <w:tc>
          <w:tcPr>
            <w:tcW w:w="4728" w:type="dxa"/>
            <w:tcBorders>
              <w:top w:val="single" w:color="000000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59720D96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Compare means of two groups</w:t>
            </w:r>
          </w:p>
        </w:tc>
        <w:tc>
          <w:tcPr>
            <w:tcW w:w="3393" w:type="dxa"/>
            <w:tcBorders>
              <w:top w:val="single" w:color="000000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750E30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Normally distributed data.equal variances</w:t>
            </w:r>
          </w:p>
        </w:tc>
        <w:tc>
          <w:tcPr>
            <w:tcW w:w="4482" w:type="dxa"/>
            <w:tcBorders>
              <w:top w:val="single" w:color="000000" w:sz="4" w:space="0"/>
              <w:left w:val="dotted" w:color="auto" w:sz="4" w:space="0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0F4ED14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Compare test scores of two teaching methods</w:t>
            </w:r>
          </w:p>
        </w:tc>
      </w:tr>
      <w:tr w14:paraId="2C662799">
        <w:tc>
          <w:tcPr>
            <w:tcW w:w="1571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505B18BC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  <w:t>A</w:t>
            </w:r>
            <w:r>
              <w:rPr>
                <w:rFonts w:hint="default" w:asciiTheme="minorEastAsia" w:hAnsi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  <w:t>N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  <w:t>OVA</w:t>
            </w:r>
          </w:p>
        </w:tc>
        <w:tc>
          <w:tcPr>
            <w:tcW w:w="472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3D1420D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Compare means of more than two groups</w:t>
            </w:r>
          </w:p>
        </w:tc>
        <w:tc>
          <w:tcPr>
            <w:tcW w:w="339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30134C5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Normally distributed data.equal variances</w:t>
            </w:r>
          </w:p>
        </w:tc>
        <w:tc>
          <w:tcPr>
            <w:tcW w:w="448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5F6EBD6B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Compare test scores among three teaching mothods</w:t>
            </w:r>
          </w:p>
        </w:tc>
      </w:tr>
      <w:tr w14:paraId="6B3FE3AF">
        <w:tc>
          <w:tcPr>
            <w:tcW w:w="1571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F1EAD75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  <w:t>Chi-Square Test</w:t>
            </w:r>
          </w:p>
        </w:tc>
        <w:tc>
          <w:tcPr>
            <w:tcW w:w="472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0E5BD8A8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Test independence between categorical variables</w:t>
            </w:r>
          </w:p>
        </w:tc>
        <w:tc>
          <w:tcPr>
            <w:tcW w:w="339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B4B197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Random sample.Large enough sample size</w:t>
            </w:r>
          </w:p>
        </w:tc>
        <w:tc>
          <w:tcPr>
            <w:tcW w:w="448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7B84B35C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Test if there</w:t>
            </w:r>
            <w:r>
              <w:rPr>
                <w:rFonts w:hint="default" w:asciiTheme="minorEastAsia" w:hAnsi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’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s an association between gender and perference for tea or coffee</w:t>
            </w:r>
          </w:p>
        </w:tc>
      </w:tr>
      <w:tr w14:paraId="51D196B8">
        <w:tc>
          <w:tcPr>
            <w:tcW w:w="1571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DE0CB00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  <w:t>Fisher’s Exact</w:t>
            </w:r>
          </w:p>
          <w:p w14:paraId="4E18E67C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C00000"/>
                <w:sz w:val="18"/>
                <w:szCs w:val="18"/>
                <w:vertAlign w:val="baseline"/>
                <w:lang w:val="en-US"/>
              </w:rPr>
              <w:t>Test</w:t>
            </w:r>
          </w:p>
        </w:tc>
        <w:tc>
          <w:tcPr>
            <w:tcW w:w="472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0BFD8F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Compare proportions in a 2*2 contingency table</w:t>
            </w:r>
          </w:p>
        </w:tc>
        <w:tc>
          <w:tcPr>
            <w:tcW w:w="339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713B832B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Low sample size.</w:t>
            </w:r>
          </w:p>
          <w:p w14:paraId="14164A1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Independence of observations</w:t>
            </w:r>
          </w:p>
        </w:tc>
        <w:tc>
          <w:tcPr>
            <w:tcW w:w="448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0F628F6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C00000"/>
                <w:sz w:val="18"/>
                <w:szCs w:val="18"/>
                <w:vertAlign w:val="baseline"/>
                <w:lang w:val="en-US"/>
              </w:rPr>
              <w:t>Assess the association between gender and smoking status in a small sample</w:t>
            </w:r>
          </w:p>
        </w:tc>
      </w:tr>
      <w:tr w14:paraId="5E759C9E">
        <w:tc>
          <w:tcPr>
            <w:tcW w:w="1571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3FE3C7F8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>Mann-Whitney U</w:t>
            </w:r>
          </w:p>
          <w:p w14:paraId="7748AFCA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>Test</w:t>
            </w:r>
          </w:p>
        </w:tc>
        <w:tc>
          <w:tcPr>
            <w:tcW w:w="472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0859267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Compare distributions of two independent groups</w:t>
            </w:r>
          </w:p>
        </w:tc>
        <w:tc>
          <w:tcPr>
            <w:tcW w:w="339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555719B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Independence of observations</w:t>
            </w:r>
          </w:p>
        </w:tc>
        <w:tc>
          <w:tcPr>
            <w:tcW w:w="448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6FF02ABF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Compare test scores between two different schools</w:t>
            </w:r>
          </w:p>
        </w:tc>
      </w:tr>
      <w:tr w14:paraId="59BFCDB6">
        <w:tc>
          <w:tcPr>
            <w:tcW w:w="1571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62E25F72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>Kruskal-Wallis</w:t>
            </w:r>
          </w:p>
          <w:p w14:paraId="5AD23997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>Test</w:t>
            </w:r>
          </w:p>
        </w:tc>
        <w:tc>
          <w:tcPr>
            <w:tcW w:w="472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0064DCD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Compare distributions of more than two independent groups</w:t>
            </w:r>
          </w:p>
        </w:tc>
        <w:tc>
          <w:tcPr>
            <w:tcW w:w="339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7649E404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Independence of observations.</w:t>
            </w:r>
          </w:p>
          <w:p w14:paraId="74C075B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Similar distributins</w:t>
            </w:r>
          </w:p>
        </w:tc>
        <w:tc>
          <w:tcPr>
            <w:tcW w:w="448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36F9F48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Compare performance of different teaching methods across multiple schools</w:t>
            </w:r>
          </w:p>
        </w:tc>
      </w:tr>
      <w:tr w14:paraId="47684BA9">
        <w:tc>
          <w:tcPr>
            <w:tcW w:w="1571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3A1F01B1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>Wilcoxon</w:t>
            </w:r>
            <w:r>
              <w:rPr>
                <w:rFonts w:hint="default" w:asciiTheme="minorEastAsia" w:hAnsi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>Signed-Rank</w:t>
            </w:r>
            <w:r>
              <w:rPr>
                <w:rFonts w:hint="default" w:asciiTheme="minorEastAsia" w:hAnsi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>Test</w:t>
            </w:r>
          </w:p>
        </w:tc>
        <w:tc>
          <w:tcPr>
            <w:tcW w:w="472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C30457D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Compare distributions of two related groups</w:t>
            </w:r>
          </w:p>
        </w:tc>
        <w:tc>
          <w:tcPr>
            <w:tcW w:w="339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CD8DA3E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Dependent variable should be continuous or ordianl</w:t>
            </w:r>
          </w:p>
        </w:tc>
        <w:tc>
          <w:tcPr>
            <w:tcW w:w="448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3AE63DE2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Compare pre-test and post-test scores within a group</w:t>
            </w:r>
          </w:p>
        </w:tc>
      </w:tr>
      <w:tr w14:paraId="4F1DDA0D">
        <w:tc>
          <w:tcPr>
            <w:tcW w:w="1571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2209F10C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>McNemar</w:t>
            </w:r>
            <w:r>
              <w:rPr>
                <w:rFonts w:hint="default" w:asciiTheme="minorEastAsia" w:hAnsi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>’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7030A0"/>
                <w:sz w:val="18"/>
                <w:szCs w:val="18"/>
                <w:vertAlign w:val="baseline"/>
                <w:lang w:val="en-US"/>
              </w:rPr>
              <w:t>s Test</w:t>
            </w:r>
          </w:p>
        </w:tc>
        <w:tc>
          <w:tcPr>
            <w:tcW w:w="472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2AE05A01">
            <w:pPr>
              <w:jc w:val="both"/>
              <w:rPr>
                <w:rFonts w:hint="default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Compare paired proportions or frequencies in a 2*2 contingency table</w:t>
            </w:r>
            <w:r>
              <w:rPr>
                <w:rFonts w:hint="default" w:asciiTheme="minorEastAsia" w:hAnsi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(McNemar-Bowker Test,k*k,k&gt;=3)</w:t>
            </w:r>
            <w:bookmarkStart w:id="0" w:name="_GoBack"/>
            <w:bookmarkEnd w:id="0"/>
          </w:p>
        </w:tc>
        <w:tc>
          <w:tcPr>
            <w:tcW w:w="339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225308C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Binary data.</w:t>
            </w:r>
          </w:p>
          <w:p w14:paraId="5CCFBD76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Dependent groups</w:t>
            </w:r>
          </w:p>
        </w:tc>
        <w:tc>
          <w:tcPr>
            <w:tcW w:w="448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5E1DDD69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7030A0"/>
                <w:sz w:val="18"/>
                <w:szCs w:val="18"/>
                <w:vertAlign w:val="baseline"/>
                <w:lang w:val="en-US"/>
              </w:rPr>
              <w:t>Compare the effectiveness of two treatments on a binary outcome</w:t>
            </w:r>
          </w:p>
        </w:tc>
      </w:tr>
      <w:tr w14:paraId="07DF2FE6">
        <w:tc>
          <w:tcPr>
            <w:tcW w:w="1571" w:type="dxa"/>
            <w:tcBorders>
              <w:top w:val="dotted" w:color="auto" w:sz="4" w:space="0"/>
              <w:left w:val="nil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1F763793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sz w:val="18"/>
                <w:szCs w:val="18"/>
                <w:vertAlign w:val="baseline"/>
                <w:lang w:val="en-US"/>
              </w:rPr>
              <w:t>Pearson</w:t>
            </w:r>
          </w:p>
          <w:p w14:paraId="2CDC0C45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sz w:val="18"/>
                <w:szCs w:val="18"/>
                <w:vertAlign w:val="baseline"/>
                <w:lang w:val="en-US"/>
              </w:rPr>
              <w:t>Correlation</w:t>
            </w:r>
          </w:p>
        </w:tc>
        <w:tc>
          <w:tcPr>
            <w:tcW w:w="4728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5D219E3C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  <w:t>Measure linear association between two continuous variables</w:t>
            </w:r>
          </w:p>
        </w:tc>
        <w:tc>
          <w:tcPr>
            <w:tcW w:w="339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FFFFFF"/>
            <w:vAlign w:val="center"/>
          </w:tcPr>
          <w:p w14:paraId="41A3A0BD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  <w:t>Linearity.</w:t>
            </w:r>
          </w:p>
          <w:p w14:paraId="3CD1FF44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  <w:t>Homoscedasticity</w:t>
            </w:r>
          </w:p>
        </w:tc>
        <w:tc>
          <w:tcPr>
            <w:tcW w:w="448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5995C59C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  <w:t>Examine the relationship between age and income</w:t>
            </w:r>
          </w:p>
        </w:tc>
      </w:tr>
      <w:tr w14:paraId="79B4D43C">
        <w:tc>
          <w:tcPr>
            <w:tcW w:w="1571" w:type="dxa"/>
            <w:tcBorders>
              <w:top w:val="dotted" w:color="auto" w:sz="4" w:space="0"/>
              <w:left w:val="nil"/>
              <w:bottom w:val="single" w:color="000000" w:sz="12" w:space="0"/>
              <w:right w:val="dotted" w:color="auto" w:sz="4" w:space="0"/>
            </w:tcBorders>
            <w:shd w:val="clear" w:color="auto" w:fill="FFFFFF"/>
            <w:vAlign w:val="center"/>
          </w:tcPr>
          <w:p w14:paraId="18879A78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sz w:val="18"/>
                <w:szCs w:val="18"/>
                <w:vertAlign w:val="baseline"/>
                <w:lang w:val="en-US"/>
              </w:rPr>
              <w:t>Regression</w:t>
            </w:r>
          </w:p>
          <w:p w14:paraId="1D95BA00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color w:val="0070C0"/>
                <w:sz w:val="18"/>
                <w:szCs w:val="18"/>
                <w:vertAlign w:val="baseline"/>
                <w:lang w:val="en-US"/>
              </w:rPr>
              <w:t>Analysis</w:t>
            </w:r>
          </w:p>
        </w:tc>
        <w:tc>
          <w:tcPr>
            <w:tcW w:w="4728" w:type="dxa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vAlign w:val="center"/>
          </w:tcPr>
          <w:p w14:paraId="50E80B89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  <w:t>Predict a continuous dependent variables based on one or more independent variables</w:t>
            </w:r>
          </w:p>
        </w:tc>
        <w:tc>
          <w:tcPr>
            <w:tcW w:w="3393" w:type="dxa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dotted" w:color="auto" w:sz="4" w:space="0"/>
            </w:tcBorders>
            <w:shd w:val="clear" w:color="auto" w:fill="FFFFFF"/>
            <w:vAlign w:val="center"/>
          </w:tcPr>
          <w:p w14:paraId="464F5C88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  <w:t>Linearity.Homoscedasticity.</w:t>
            </w:r>
          </w:p>
          <w:p w14:paraId="7259EBF0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  <w:t>Independence of errors</w:t>
            </w:r>
          </w:p>
        </w:tc>
        <w:tc>
          <w:tcPr>
            <w:tcW w:w="4482" w:type="dxa"/>
            <w:tcBorders>
              <w:top w:val="dotted" w:color="auto" w:sz="4" w:space="0"/>
              <w:left w:val="dotted" w:color="auto" w:sz="4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B032A2C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70C0"/>
                <w:sz w:val="18"/>
                <w:szCs w:val="18"/>
                <w:vertAlign w:val="baseline"/>
                <w:lang w:val="en-US"/>
              </w:rPr>
              <w:t>Predicting house prices based on square footage,number of bedrooms,etc.</w:t>
            </w:r>
          </w:p>
        </w:tc>
      </w:tr>
    </w:tbl>
    <w:p w14:paraId="713E4055"/>
    <w:p w14:paraId="772D8046">
      <w:r>
        <w:br w:type="page"/>
      </w:r>
    </w:p>
    <w:p w14:paraId="6275F5DA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D155E59">
      <w:pPr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Type of hypothesis testing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8"/>
        <w:gridCol w:w="1851"/>
        <w:gridCol w:w="2105"/>
        <w:gridCol w:w="1748"/>
      </w:tblGrid>
      <w:tr w14:paraId="515EA76A">
        <w:tc>
          <w:tcPr>
            <w:tcW w:w="165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25DD6DA">
            <w:pPr>
              <w:jc w:val="center"/>
              <w:rPr>
                <w:b w:val="0"/>
                <w:color w:val="000000"/>
                <w:vertAlign w:val="baseline"/>
              </w:rPr>
            </w:pPr>
          </w:p>
        </w:tc>
        <w:tc>
          <w:tcPr>
            <w:tcW w:w="108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629B634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A</w:t>
            </w:r>
          </w:p>
        </w:tc>
        <w:tc>
          <w:tcPr>
            <w:tcW w:w="123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46D861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B</w:t>
            </w:r>
          </w:p>
        </w:tc>
        <w:tc>
          <w:tcPr>
            <w:tcW w:w="102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5D4E85">
            <w:pPr>
              <w:jc w:val="center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C</w:t>
            </w:r>
          </w:p>
        </w:tc>
      </w:tr>
      <w:tr w14:paraId="750C633E">
        <w:tc>
          <w:tcPr>
            <w:tcW w:w="1653" w:type="pct"/>
            <w:vMerge w:val="restart"/>
            <w:tcBorders>
              <w:top w:val="single" w:color="000000" w:sz="4" w:space="0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408EE28F">
            <w:pPr>
              <w:jc w:val="left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Normal Distribution</w:t>
            </w:r>
          </w:p>
        </w:tc>
        <w:tc>
          <w:tcPr>
            <w:tcW w:w="2321" w:type="pct"/>
            <w:gridSpan w:val="2"/>
            <w:tcBorders>
              <w:top w:val="single" w:color="000000" w:sz="4" w:space="0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70C264BC">
            <w:pPr>
              <w:jc w:val="center"/>
              <w:rPr>
                <w:rFonts w:hint="default"/>
                <w:b w:val="0"/>
                <w:color w:val="C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C00000"/>
                <w:vertAlign w:val="baseline"/>
                <w:lang w:val="en-US"/>
              </w:rPr>
              <w:t>T-Test(Indepent/Paired)</w:t>
            </w:r>
          </w:p>
        </w:tc>
        <w:tc>
          <w:tcPr>
            <w:tcW w:w="102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562ED8">
            <w:pPr>
              <w:jc w:val="center"/>
              <w:rPr>
                <w:b w:val="0"/>
                <w:color w:val="000000"/>
                <w:vertAlign w:val="baseline"/>
              </w:rPr>
            </w:pPr>
          </w:p>
        </w:tc>
      </w:tr>
      <w:tr w14:paraId="4BF01994">
        <w:tc>
          <w:tcPr>
            <w:tcW w:w="1653" w:type="pct"/>
            <w:vMerge w:val="continue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3D83CCD5">
            <w:pPr>
              <w:jc w:val="center"/>
              <w:rPr>
                <w:b w:val="0"/>
                <w:color w:val="000000"/>
                <w:vertAlign w:val="baseline"/>
              </w:rPr>
            </w:pPr>
          </w:p>
        </w:tc>
        <w:tc>
          <w:tcPr>
            <w:tcW w:w="3346" w:type="pct"/>
            <w:gridSpan w:val="3"/>
            <w:tcBorders>
              <w:top w:val="nil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2CE8AE40">
            <w:pPr>
              <w:jc w:val="center"/>
              <w:rPr>
                <w:rFonts w:hint="default"/>
                <w:b w:val="0"/>
                <w:color w:val="0070C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70C0"/>
                <w:vertAlign w:val="baseline"/>
                <w:lang w:val="en-US"/>
              </w:rPr>
              <w:t>ANOVA</w:t>
            </w:r>
          </w:p>
        </w:tc>
      </w:tr>
      <w:tr w14:paraId="617E6F4A">
        <w:tc>
          <w:tcPr>
            <w:tcW w:w="1653" w:type="pct"/>
            <w:tcBorders>
              <w:top w:val="dotted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CA3EE2">
            <w:pPr>
              <w:jc w:val="left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Non-Normal Distribution</w:t>
            </w:r>
          </w:p>
        </w:tc>
        <w:tc>
          <w:tcPr>
            <w:tcW w:w="3346" w:type="pct"/>
            <w:gridSpan w:val="3"/>
            <w:tcBorders>
              <w:top w:val="dotted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B4F75F">
            <w:pPr>
              <w:jc w:val="center"/>
              <w:rPr>
                <w:b w:val="0"/>
                <w:color w:val="000000"/>
                <w:vertAlign w:val="baseline"/>
              </w:rPr>
            </w:pPr>
          </w:p>
        </w:tc>
      </w:tr>
      <w:tr w14:paraId="5F2ABE76">
        <w:tc>
          <w:tcPr>
            <w:tcW w:w="1653" w:type="pct"/>
            <w:vMerge w:val="restart"/>
            <w:tcBorders>
              <w:top w:val="nil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4F9D1DDD">
            <w:pPr>
              <w:ind w:leftChars="200"/>
              <w:jc w:val="left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Independent</w:t>
            </w:r>
          </w:p>
        </w:tc>
        <w:tc>
          <w:tcPr>
            <w:tcW w:w="2321" w:type="pct"/>
            <w:gridSpan w:val="2"/>
            <w:tcBorders>
              <w:top w:val="nil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58903AE6">
            <w:pPr>
              <w:jc w:val="center"/>
              <w:rPr>
                <w:rFonts w:hint="default"/>
                <w:b w:val="0"/>
                <w:color w:val="C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C00000"/>
                <w:vertAlign w:val="baseline"/>
                <w:lang w:val="en-US"/>
              </w:rPr>
              <w:t>Mann-Whitney U</w:t>
            </w:r>
          </w:p>
        </w:tc>
        <w:tc>
          <w:tcPr>
            <w:tcW w:w="10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F9E80D">
            <w:pPr>
              <w:jc w:val="center"/>
              <w:rPr>
                <w:b w:val="0"/>
                <w:color w:val="000000"/>
                <w:vertAlign w:val="baseline"/>
              </w:rPr>
            </w:pPr>
          </w:p>
        </w:tc>
      </w:tr>
      <w:tr w14:paraId="72EEC064">
        <w:tc>
          <w:tcPr>
            <w:tcW w:w="1653" w:type="pct"/>
            <w:vMerge w:val="continue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4169C98F">
            <w:pPr>
              <w:ind w:left="0" w:leftChars="0"/>
              <w:jc w:val="left"/>
              <w:rPr>
                <w:b w:val="0"/>
                <w:color w:val="000000"/>
                <w:vertAlign w:val="baseline"/>
              </w:rPr>
            </w:pPr>
          </w:p>
        </w:tc>
        <w:tc>
          <w:tcPr>
            <w:tcW w:w="3346" w:type="pct"/>
            <w:gridSpan w:val="3"/>
            <w:tcBorders>
              <w:top w:val="nil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0BBE001D">
            <w:pPr>
              <w:jc w:val="center"/>
              <w:rPr>
                <w:rFonts w:hint="default"/>
                <w:b w:val="0"/>
                <w:color w:val="0070C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70C0"/>
                <w:vertAlign w:val="baseline"/>
                <w:lang w:val="en-US"/>
              </w:rPr>
              <w:t>Kruskal-Wallis</w:t>
            </w:r>
          </w:p>
        </w:tc>
      </w:tr>
      <w:tr w14:paraId="1D2928DA">
        <w:tc>
          <w:tcPr>
            <w:tcW w:w="1653" w:type="pct"/>
            <w:vMerge w:val="restart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4A02B04A">
            <w:pPr>
              <w:ind w:leftChars="200"/>
              <w:jc w:val="left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Related</w:t>
            </w:r>
          </w:p>
        </w:tc>
        <w:tc>
          <w:tcPr>
            <w:tcW w:w="2321" w:type="pct"/>
            <w:gridSpan w:val="2"/>
            <w:tcBorders>
              <w:top w:val="nil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39372F9C">
            <w:pPr>
              <w:jc w:val="center"/>
              <w:rPr>
                <w:rFonts w:hint="default"/>
                <w:b w:val="0"/>
                <w:color w:val="C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C00000"/>
                <w:vertAlign w:val="baseline"/>
                <w:lang w:val="en-US"/>
              </w:rPr>
              <w:t>Wilcoxon</w:t>
            </w:r>
          </w:p>
        </w:tc>
        <w:tc>
          <w:tcPr>
            <w:tcW w:w="10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FF7F00">
            <w:pPr>
              <w:jc w:val="center"/>
              <w:rPr>
                <w:b w:val="0"/>
                <w:color w:val="000000"/>
                <w:vertAlign w:val="baseline"/>
              </w:rPr>
            </w:pPr>
          </w:p>
        </w:tc>
      </w:tr>
      <w:tr w14:paraId="3B696779">
        <w:tc>
          <w:tcPr>
            <w:tcW w:w="1653" w:type="pct"/>
            <w:vMerge w:val="continue"/>
            <w:tcBorders>
              <w:top w:val="dotted" w:color="auto" w:sz="4" w:space="0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3605A6DB">
            <w:pPr>
              <w:jc w:val="center"/>
              <w:rPr>
                <w:b w:val="0"/>
                <w:color w:val="000000"/>
                <w:vertAlign w:val="baseline"/>
              </w:rPr>
            </w:pPr>
          </w:p>
        </w:tc>
        <w:tc>
          <w:tcPr>
            <w:tcW w:w="3346" w:type="pct"/>
            <w:gridSpan w:val="3"/>
            <w:tcBorders>
              <w:top w:val="nil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3F286561">
            <w:pPr>
              <w:jc w:val="center"/>
              <w:rPr>
                <w:rFonts w:hint="default"/>
                <w:b w:val="0"/>
                <w:color w:val="0070C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70C0"/>
                <w:vertAlign w:val="baseline"/>
                <w:lang w:val="en-US"/>
              </w:rPr>
              <w:t>Kendall</w:t>
            </w:r>
          </w:p>
        </w:tc>
      </w:tr>
      <w:tr w14:paraId="5399A26B">
        <w:tc>
          <w:tcPr>
            <w:tcW w:w="1653" w:type="pct"/>
            <w:tcBorders>
              <w:top w:val="dotted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A65A00">
            <w:pPr>
              <w:jc w:val="left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Chi-Square</w:t>
            </w:r>
          </w:p>
        </w:tc>
        <w:tc>
          <w:tcPr>
            <w:tcW w:w="3346" w:type="pct"/>
            <w:gridSpan w:val="3"/>
            <w:tcBorders>
              <w:top w:val="dotted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E2CAB9">
            <w:pPr>
              <w:jc w:val="center"/>
              <w:rPr>
                <w:rFonts w:hint="default"/>
                <w:b w:val="0"/>
                <w:color w:val="0070C0"/>
                <w:vertAlign w:val="baseline"/>
                <w:lang w:val="en-US"/>
              </w:rPr>
            </w:pPr>
          </w:p>
        </w:tc>
      </w:tr>
      <w:tr w14:paraId="18A92597">
        <w:tc>
          <w:tcPr>
            <w:tcW w:w="1653" w:type="pct"/>
            <w:tcBorders>
              <w:top w:val="nil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2F6088AB">
            <w:pPr>
              <w:ind w:leftChars="200"/>
              <w:jc w:val="left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Independent</w:t>
            </w:r>
          </w:p>
        </w:tc>
        <w:tc>
          <w:tcPr>
            <w:tcW w:w="3346" w:type="pct"/>
            <w:gridSpan w:val="3"/>
            <w:tcBorders>
              <w:top w:val="nil"/>
              <w:left w:val="nil"/>
              <w:bottom w:val="dotted" w:color="auto" w:sz="4" w:space="0"/>
              <w:right w:val="nil"/>
            </w:tcBorders>
            <w:shd w:val="clear" w:color="auto" w:fill="FFFFFF"/>
            <w:vAlign w:val="center"/>
          </w:tcPr>
          <w:p w14:paraId="526CB774">
            <w:pPr>
              <w:jc w:val="center"/>
              <w:rPr>
                <w:rFonts w:hint="default"/>
                <w:b w:val="0"/>
                <w:color w:val="0070C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70C0"/>
                <w:vertAlign w:val="baseline"/>
                <w:lang w:val="en-US"/>
              </w:rPr>
              <w:t>Pearson or Fisher’s Exact</w:t>
            </w:r>
          </w:p>
        </w:tc>
      </w:tr>
      <w:tr w14:paraId="06F90CF6">
        <w:tc>
          <w:tcPr>
            <w:tcW w:w="1653" w:type="pct"/>
            <w:tcBorders>
              <w:top w:val="dotted" w:color="auto" w:sz="4" w:space="0"/>
              <w:left w:val="nil"/>
              <w:bottom w:val="single" w:color="auto" w:sz="12" w:space="0"/>
              <w:right w:val="nil"/>
            </w:tcBorders>
            <w:shd w:val="clear" w:color="auto" w:fill="FFFFFF"/>
            <w:vAlign w:val="center"/>
          </w:tcPr>
          <w:p w14:paraId="7FFC1190">
            <w:pPr>
              <w:ind w:leftChars="200"/>
              <w:jc w:val="left"/>
              <w:rPr>
                <w:rFonts w:hint="default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0000"/>
                <w:vertAlign w:val="baseline"/>
                <w:lang w:val="en-US"/>
              </w:rPr>
              <w:t>Paired</w:t>
            </w:r>
          </w:p>
        </w:tc>
        <w:tc>
          <w:tcPr>
            <w:tcW w:w="3346" w:type="pct"/>
            <w:gridSpan w:val="3"/>
            <w:tcBorders>
              <w:top w:val="dotted" w:color="auto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14F5FCF">
            <w:pPr>
              <w:jc w:val="center"/>
              <w:rPr>
                <w:rFonts w:hint="default"/>
                <w:b w:val="0"/>
                <w:color w:val="0070C0"/>
                <w:vertAlign w:val="baseline"/>
                <w:lang w:val="en-US"/>
              </w:rPr>
            </w:pPr>
            <w:r>
              <w:rPr>
                <w:rFonts w:hint="default"/>
                <w:b w:val="0"/>
                <w:color w:val="0070C0"/>
                <w:vertAlign w:val="baseline"/>
                <w:lang w:val="en-US"/>
              </w:rPr>
              <w:t>McNemar’s &amp; Kappa</w:t>
            </w:r>
          </w:p>
        </w:tc>
      </w:tr>
    </w:tbl>
    <w:p w14:paraId="0E477EE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No</w:t>
      </w:r>
      <w:r>
        <w:rPr>
          <w:rFonts w:hint="default"/>
          <w:lang w:val="en-US" w:eastAsia="zh-CN"/>
        </w:rPr>
        <w:t>te:</w:t>
      </w:r>
    </w:p>
    <w:p w14:paraId="1C501BCD">
      <w:pPr>
        <w:rPr>
          <w:rFonts w:hint="default"/>
          <w:lang w:val="en-US"/>
        </w:rPr>
      </w:pPr>
      <w:r>
        <w:rPr>
          <w:rFonts w:hint="default"/>
          <w:lang w:val="en-US"/>
        </w:rPr>
        <w:t>T-Test:Compare means of two groups.Normally distributed data.Equal variances.</w:t>
      </w:r>
    </w:p>
    <w:p w14:paraId="629EC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ANOVA:Compare means of more than two groups.Normally distributed data.Equal Variances.</w:t>
      </w:r>
    </w:p>
    <w:p w14:paraId="3CC59167">
      <w:pPr>
        <w:rPr>
          <w:rFonts w:hint="default"/>
          <w:lang w:val="en-US" w:eastAsia="zh-CN"/>
        </w:rPr>
      </w:pPr>
    </w:p>
    <w:p w14:paraId="4BBD4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Mann-Whitney U:Compare distritutions of two independent groups.</w:t>
      </w:r>
    </w:p>
    <w:p w14:paraId="14462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Kruskal-Wallis:Compare distributions of more than two independent groups.</w:t>
      </w:r>
    </w:p>
    <w:p w14:paraId="0DC93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Wilcoxon:Compare distributions of two relative groups.</w:t>
      </w:r>
    </w:p>
    <w:p w14:paraId="7184A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Kendall:Determine whether or not a trend exists in time series data.</w:t>
      </w:r>
    </w:p>
    <w:p w14:paraId="746B9111">
      <w:pPr>
        <w:rPr>
          <w:rFonts w:hint="default"/>
          <w:lang w:val="en-US" w:eastAsia="zh-CN"/>
        </w:rPr>
      </w:pPr>
    </w:p>
    <w:p w14:paraId="360DB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Pearson:Determine whether or not there is a significant association between two categorical variables.Large enough sample size.</w:t>
      </w:r>
    </w:p>
    <w:p w14:paraId="44BBEE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Fisher’s Exact:Determine whether or not there is a significant association between two categorical variables.Low sample size.</w:t>
      </w:r>
    </w:p>
    <w:p w14:paraId="11E8D0D4">
      <w:pPr>
        <w:rPr>
          <w:rFonts w:hint="default"/>
          <w:lang w:val="en-US" w:eastAsia="zh-CN"/>
        </w:rPr>
      </w:pPr>
    </w:p>
    <w:p w14:paraId="2531DF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McNemar’s:Determine if there is a statistically significant difference in proportions between paired data.</w:t>
      </w:r>
    </w:p>
    <w:p w14:paraId="019858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Kappa:Measure the level of agreement between two raters or judges who each classify items into mutually exclusive categories.</w:t>
      </w:r>
    </w:p>
    <w:p w14:paraId="35FDB7CA">
      <w:pPr>
        <w:rPr>
          <w:rFonts w:hint="default"/>
          <w:lang w:val="en-US" w:eastAsia="zh-CN"/>
        </w:rPr>
      </w:pPr>
    </w:p>
    <w:p w14:paraId="5A24A45E">
      <w:pPr>
        <w:rPr>
          <w:rFonts w:hint="default"/>
          <w:lang w:val="en-US" w:eastAsia="zh-CN"/>
        </w:rPr>
      </w:pPr>
    </w:p>
    <w:p w14:paraId="16F7DB72">
      <w:pPr>
        <w:rPr>
          <w:rFonts w:hint="default"/>
          <w:lang w:val="en-US" w:eastAsia="zh-CN"/>
        </w:rPr>
      </w:pPr>
    </w:p>
    <w:p w14:paraId="492BDD0F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2A74DEC"/>
    <w:rsid w:val="31F78AEA"/>
    <w:rsid w:val="5DF7E93E"/>
    <w:rsid w:val="627F66D9"/>
    <w:rsid w:val="AFFA675F"/>
    <w:rsid w:val="D7F7C49B"/>
    <w:rsid w:val="EFF7384A"/>
    <w:rsid w:val="F2A74DEC"/>
    <w:rsid w:val="FFA5C891"/>
    <w:rsid w:val="FFF3D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2024-03-11T02:17:00Z</dcterms:created>
  <dc:creator>王宁</dc:creator>
  <cp:lastModifiedBy>王宁</cp:lastModifiedBy>
  <dcterms:modified xsi:type="dcterms:W3CDTF">2025-03-26T12:58:10Z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000998A8347AE6F0CCC6EB654169148D_41</vt:lpwstr>
  </property>
</Properties>
</file>