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3 - Mongols and Abbasids Comparison</w:t>
      </w:r>
    </w:p>
    <w:p>
      <w:r>
        <w:t>The Mongol conquest changed the Islamic world in ways that were political and cultural at the same time. Politically, the destruction of Baghdad in 1258 was a huge turning point because it ended the Abbasid Caliphate in the way people had known it. That alone made the conquest feel like a complete break from the past. But history is rarely that simple.</w:t>
      </w:r>
    </w:p>
    <w:p>
      <w:r>
        <w:t>Even though the Mongols destroyed a lot, they did not erase Islamic society completely. In some places, trade continued, local leaders stayed important, and later Mongol rulers even converted to Islam. This is important because it shows conquest can destroy old systems while also creating new ones. The result was not just collapse. It was also change and adaptation.</w:t>
      </w:r>
    </w:p>
    <w:p>
      <w:r>
        <w:t>A similarity between the Abbasids before the conquest and the post-conquest period is that both depended on strong networks of knowledge and exchange. The difference is that after the conquest those networks had to adjust to a new political reality. People still learned, traveled, and traded, but they did it under different rulers and under more unstable conditions at first.</w:t>
      </w:r>
    </w:p>
    <w:p>
      <w:r>
        <w:t>So I would say the Mongol conquest was both an ending and a transformation. It ended Abbasid political power in Baghdad, but it did not end the whole Islamic world. That is why the conquest matters so much. It broke one structure, and then forced a different one to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