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2 - Source Analysis on Ibn Battuta</w:t>
      </w:r>
    </w:p>
    <w:p>
      <w:r>
        <w:t>Ibn Battuta gives a useful view of the Islamic world, but his account also has limits. He traveled a lot and actually saw many places himself, so that makes his writing valuable. At the same time, he was writing from his own point of view, and sometimes he focused more on what surprised him than on what everyday life was probably like for most people.</w:t>
      </w:r>
    </w:p>
    <w:p>
      <w:r>
        <w:t>One important part of the source is the way he talks about judges, scholars, and rulers. He notices who has status and who does not, which tells us a lot about what kind of society he respected. However, that also means he pays more attention to elite people than to ordinary workers. This shows the source is good for understanding values and power, but not always as good for understanding everybody in society.</w:t>
      </w:r>
    </w:p>
    <w:p>
      <w:r>
        <w:t>Another thing is that travel writing can make places seem more dramatic than they really were. If a writer wants their story to sound important, they might focus on the most unusual details. Ibn Battuta does this sometimes. That does not make the source useless, but it means historians should compare it with other evidence before fully trusting every detail.</w:t>
      </w:r>
    </w:p>
    <w:p>
      <w:r>
        <w:t>Overall, the source is helpful because it shows how one educated Muslim traveler understood the world around him. But it should not be treated like a perfect record. It is strong evidence, just not complete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