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284" w:hanging="0"/>
        <w:rPr>
          <w:sz w:val="16"/>
          <w:szCs w:val="16"/>
        </w:rPr>
      </w:pPr>
      <w:r>
        <w:rPr>
          <w:b/>
          <w:bCs/>
          <w:sz w:val="18"/>
          <w:szCs w:val="18"/>
        </w:rPr>
        <w:t xml:space="preserve">Arbeitsvertrag </w:t>
      </w:r>
      <w:r>
        <w:rPr>
          <w:sz w:val="12"/>
          <w:szCs w:val="12"/>
        </w:rPr>
        <w:t>Zwischen</w:t>
      </w:r>
      <w:r>
        <w:rPr/>
        <w:br/>
        <w:t>Sebastijan Aleksandar Kerculj</w:t>
        <w:br/>
      </w:r>
      <w:r>
        <w:rPr>
          <w:sz w:val="16"/>
          <w:szCs w:val="16"/>
        </w:rPr>
        <w:drawing>
          <wp:anchor behindDoc="1" distT="0" distB="0" distL="0" distR="0" simplePos="0" locked="0" layoutInCell="0" allowOverlap="1" relativeHeight="2">
            <wp:simplePos x="0" y="0"/>
            <wp:positionH relativeFrom="column">
              <wp:posOffset>3667760</wp:posOffset>
            </wp:positionH>
            <wp:positionV relativeFrom="paragraph">
              <wp:posOffset>-2189480</wp:posOffset>
            </wp:positionV>
            <wp:extent cx="4761865" cy="4761865"/>
            <wp:effectExtent l="0" t="0" r="0" b="0"/>
            <wp:wrapNone/>
            <wp:docPr id="1" name="image1.png" descr="Ein Bild, das Screenshot, Visitenkarte,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Ein Bild, das Screenshot, Visitenkarte, Text, Design enthält.&#10;&#10;KI-generierte Inhalte können fehlerhaft sein."/>
                    <pic:cNvPicPr>
                      <a:picLocks noChangeAspect="1" noChangeArrowheads="1"/>
                    </pic:cNvPicPr>
                  </pic:nvPicPr>
                  <pic:blipFill>
                    <a:blip r:embed="rId2"/>
                    <a:stretch>
                      <a:fillRect/>
                    </a:stretch>
                  </pic:blipFill>
                  <pic:spPr bwMode="auto">
                    <a:xfrm>
                      <a:off x="0" y="0"/>
                      <a:ext cx="4761865" cy="4761865"/>
                    </a:xfrm>
                    <a:prstGeom prst="rect">
                      <a:avLst/>
                    </a:prstGeom>
                  </pic:spPr>
                </pic:pic>
              </a:graphicData>
            </a:graphic>
          </wp:anchor>
        </w:drawing>
      </w:r>
      <w:r>
        <w:rPr>
          <w:sz w:val="16"/>
          <w:szCs w:val="16"/>
        </w:rPr>
        <w:t xml:space="preserve">Simmeringer Hauptstraße 24/4.15, 1110 Wien, Österreich (Arbeitgeber) und </w:t>
      </w:r>
    </w:p>
    <w:p>
      <w:pPr>
        <w:pStyle w:val="Normal1"/>
        <w:ind w:left="284" w:hanging="0"/>
        <w:rPr>
          <w:b/>
          <w:b/>
          <w:bCs/>
          <w:sz w:val="18"/>
          <w:szCs w:val="18"/>
        </w:rPr>
      </w:pPr>
      <w:r>
        <w:rPr/>
        <w:t>ArbeitnehmerIn:</w:t>
        <w:br/>
      </w:r>
      <w:r>
        <w:rPr>
          <w:b/>
          <w:bCs/>
        </w:rPr>
        <w:t>Raum Marica</w:t>
        <w:br/>
        <w:t>Hernalser Hauptstraße 162</w:t>
      </w:r>
      <w:r>
        <w:rPr/>
        <w:t>/6</w:t>
        <w:br/>
      </w:r>
      <w:r>
        <w:rPr>
          <w:b/>
          <w:bCs/>
        </w:rPr>
        <w:t>1170 Wien</w:t>
      </w:r>
    </w:p>
    <w:p>
      <w:pPr>
        <w:pStyle w:val="Normal1"/>
        <w:ind w:left="284" w:hanging="0"/>
        <w:rPr>
          <w:sz w:val="18"/>
          <w:szCs w:val="18"/>
        </w:rPr>
      </w:pPr>
      <w:r>
        <w:rPr>
          <w:sz w:val="18"/>
          <w:szCs w:val="18"/>
        </w:rPr>
      </w:r>
    </w:p>
    <w:p>
      <w:pPr>
        <w:pStyle w:val="Normal1"/>
        <w:ind w:left="284" w:hanging="0"/>
        <w:jc w:val="center"/>
        <w:rPr>
          <w:sz w:val="18"/>
          <w:szCs w:val="18"/>
        </w:rPr>
      </w:pPr>
      <w:r>
        <w:rPr>
          <w:sz w:val="18"/>
          <w:szCs w:val="18"/>
        </w:rPr>
        <w:t>Folgende Vereinbarung wird zwischen Arbeitgeber und Arbeitnehmer abgeschlossen.</w:t>
      </w:r>
    </w:p>
    <w:p>
      <w:pPr>
        <w:pStyle w:val="Normal1"/>
        <w:ind w:left="284" w:hanging="0"/>
        <w:rPr>
          <w:sz w:val="18"/>
          <w:szCs w:val="18"/>
        </w:rPr>
      </w:pPr>
      <w:r>
        <w:rPr/>
        <mc:AlternateContent>
          <mc:Choice Requires="wps">
            <w:drawing>
              <wp:inline distT="0" distB="0" distL="0" distR="0">
                <wp:extent cx="7479030" cy="28575"/>
                <wp:effectExtent l="0" t="0" r="0" b="0"/>
                <wp:docPr id="2" name="Shape 7"/>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7"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 xml:space="preserve">§1Beginn und Dauer des Dienstverhältnisses </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(1) Das Dienstverhältnis beginnt am </w:t>
      </w: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t>06.05.2026</w:t>
      </w: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Die ersten vier Wochen gelten als Probezeit, während der das Dienstverhältnis von jedem der beiden Teile jederzeit ohne Einhaltung von Fristen und Terminen und ohne Angabe von Gründen aufgelöst werden kann.</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(2) Das Dienstverhältnis wird befristet bis zum </w:t>
      </w: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t>31.07.2026</w:t>
      </w: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abgeschlossen. Mit Ablauf der Befristung endet das Dienstverhältnis automatisch, ohne dass es einer weiteren Erklärung bedarf. Das Dienstverhältnis wird danach als unbefristetes Dienstverhältnis umgewandelt. </w:t>
      </w:r>
    </w:p>
    <w:p>
      <w:pPr>
        <w:pStyle w:val="Normal1"/>
        <w:ind w:left="284" w:hanging="0"/>
        <w:rPr>
          <w:sz w:val="18"/>
          <w:szCs w:val="18"/>
        </w:rPr>
      </w:pPr>
      <w:r>
        <w:rPr/>
        <mc:AlternateContent>
          <mc:Choice Requires="wps">
            <w:drawing>
              <wp:inline distT="0" distB="0" distL="0" distR="0">
                <wp:extent cx="7479030" cy="28575"/>
                <wp:effectExtent l="0" t="0" r="0" b="0"/>
                <wp:docPr id="4" name="Shape 6"/>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6"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§2 Dienstort</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(1) Der gewöhnliche Dienstort ist Wien und Umgebung Dem/Der Arbeitgeber/in bleibt jedoch die vorübergehende oder dauernde Versetzung an einen anderen Dienstort nach billigem Ermessen vorbehalten. Weiters wird eine Folgepflicht bei Verlegung des Betriebsstandortes vereinbart. Der/Die Arbeitnehmer/in erklärt seine/ihre Bereitschaft, auf Aufforderung des/der Arbeitgebers/in Inlands- und Auslandsreisen durchzuführen. Die Verrechnung von Aufwandsentschädigungen (insbesondere Tagesgeldern bzw. etwaigen Nächtigungsgeldern) im Falle von Dienstreisen erfolgt nach den jeweils gültigen kollektivvertraglichen Bestimmungen. </w:t>
      </w:r>
    </w:p>
    <w:p>
      <w:pPr>
        <w:pStyle w:val="Normal1"/>
        <w:rPr>
          <w:sz w:val="18"/>
          <w:szCs w:val="18"/>
        </w:rPr>
      </w:pPr>
      <w:r>
        <w:rPr/>
        <mc:AlternateContent>
          <mc:Choice Requires="wps">
            <w:drawing>
              <wp:inline distT="0" distB="0" distL="0" distR="0">
                <wp:extent cx="7479030" cy="28575"/>
                <wp:effectExtent l="0" t="0" r="0" b="0"/>
                <wp:docPr id="6" name="Shape 9"/>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9"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§3 Tätigkeiten und Aufgaben</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(1) Der/Die Arbeitnehmer/in wird als </w:t>
      </w:r>
      <w:r>
        <w:rPr>
          <w:rFonts w:eastAsia="Calibri" w:cs="Calibri"/>
          <w:b/>
          <w:bCs/>
          <w:i w:val="false"/>
          <w:iCs w:val="false"/>
          <w:caps w:val="false"/>
          <w:smallCaps w:val="false"/>
          <w:strike w:val="false"/>
          <w:dstrike w:val="false"/>
          <w:color w:val="000000"/>
          <w:position w:val="0"/>
          <w:sz w:val="18"/>
          <w:sz w:val="18"/>
          <w:szCs w:val="18"/>
          <w:u w:val="none"/>
          <w:shd w:fill="auto" w:val="clear"/>
          <w:vertAlign w:val="baseline"/>
        </w:rPr>
        <w:t>Reinigungskraft</w:t>
      </w: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 eingestellt. Die Tätigkeit umfasst insbesondere folgende Aufgaben: Unterhaltsreinigung Der/Die Arbeitgeber/in behält sich vor, dem/der Arbeitnehmer/in eine andere zumutbare, seinen/ihren Kenntnissen entsprechende Arbeit zuzuweisen. Im Rahmen billigen Ermessens steht es dem/der Arbeitgeber/in auch zu, den/die Arbeitnehmer/in zu geringwertigeren Tätigkeiten heranzuziehen.</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(2) Die vom/von der Arbeitnehmer/in zu erbringende Tätigkeit umfasst jedenfalls auch alle mit ihr gewöhnlich und unter Bedachtnahme auf die Entwicklung des Betriebes sowie des organisatorischen und technischen Umfeldes verbundenen Aufgaben nach Maßgabe der jeweiligen Vorgaben des/der Arbeitgebers/in. Der/Die Arbeitnehmer/in hat die Arbeitsleistungen stets ordnungsgemäß und unter Bedachtnahme auf die Interessen des Betriebs zu verrichten und übernommene Ausrüstungen, Werkzeuge und Einrichtungen sorgsam zu betreuen.</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(3) Der/Die Arbeitnehmer/in ist verpflichtet, alle betrieblichen Ordnungs- und Sicherheitsvorschriften zu beachten, sämtliche staatlichen und behördlichen Bestimmungen strikt einzuhalten und den/die Arbeitgeber/in über Amtshandlungen und Betriebsgebrechen unverzüglich zu informieren. Bei Gefahr im Verzug hat der/die Arbeitnehmer/in, falls die rechtzeitige Verständigung der Betriebsleitung nicht möglich ist, nach bestem Ermessen die zur Verhütung eines Unfalles oder Schadens notwendigen Vorkehrungen selbständig zu treffen und über das Veranlasste der Betriebsleitung sofort zu berichten.</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(4) Der Konsum von Alkohol oder Suchtmitteln ist während der Arbeit und in den Arbeitspausen strengstens verboten. Ebenso ist das Antreten der Arbeit in alkoholisiertem oder berauschtem Zustand untersagt. </w:t>
      </w:r>
    </w:p>
    <w:p>
      <w:pPr>
        <w:pStyle w:val="Normal1"/>
        <w:keepNext w:val="false"/>
        <w:keepLines w:val="false"/>
        <w:pageBreakBefore w:val="false"/>
        <w:widowControl/>
        <w:pBdr/>
        <w:shd w:val="clear" w:fill="auto"/>
        <w:spacing w:lineRule="auto" w:line="240" w:before="0" w:after="0"/>
        <w:ind w:left="284"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(5)Alle im Eigentum des/der Arbeitgebers/in stehenden Betriebsmittel und sonstige Gegenstände sind vom/von der Arbeitnehmer/in pfleglich zu behandeln und nach Aufforderung bzw. im Falle der Beendigung des Dienstverhältnisses unaufgefordert zurückzugeben. Zurückbehaltungsrechte sind ausgeschlossen.</w:t>
      </w:r>
    </w:p>
    <w:p>
      <w:pPr>
        <w:pStyle w:val="Normal1"/>
        <w:ind w:left="284" w:hanging="0"/>
        <w:rPr>
          <w:sz w:val="18"/>
          <w:szCs w:val="18"/>
        </w:rPr>
      </w:pPr>
      <w:r>
        <w:rPr/>
        <mc:AlternateContent>
          <mc:Choice Requires="wps">
            <w:drawing>
              <wp:inline distT="0" distB="0" distL="0" distR="0">
                <wp:extent cx="7479030" cy="28575"/>
                <wp:effectExtent l="0" t="0" r="0" b="0"/>
                <wp:docPr id="8" name="Shape 8"/>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8"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§4 Einstufung und Entgelt</w:t>
      </w:r>
    </w:p>
    <w:p>
      <w:pPr>
        <w:pStyle w:val="Normal1"/>
        <w:keepNext w:val="false"/>
        <w:keepLines w:val="false"/>
        <w:pageBreakBefore w:val="false"/>
        <w:widowControl/>
        <w:numPr>
          <w:ilvl w:val="0"/>
          <w:numId w:val="1"/>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Der/Die Arbeitnehmer/in wird im Sinne des anzuwendenden Kollektivvertrages in </w:t>
      </w:r>
      <w:r>
        <w:rPr>
          <w:rFonts w:eastAsia="Calibri" w:cs="Calibri"/>
          <w:b/>
          <w:bCs/>
          <w:i w:val="false"/>
          <w:iCs w:val="false"/>
          <w:caps w:val="false"/>
          <w:smallCaps w:val="false"/>
          <w:strike w:val="false"/>
          <w:dstrike w:val="false"/>
          <w:color w:val="000000"/>
          <w:position w:val="0"/>
          <w:sz w:val="18"/>
          <w:sz w:val="18"/>
          <w:szCs w:val="18"/>
          <w:u w:val="none"/>
          <w:shd w:fill="auto" w:val="clear"/>
          <w:vertAlign w:val="baseline"/>
        </w:rPr>
        <w:t>die Lohngruppe 6</w:t>
      </w: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 eingestuft und erhält einen </w:t>
      </w:r>
      <w:r>
        <w:rPr>
          <w:rFonts w:eastAsia="Calibri" w:cs="Calibri"/>
          <w:b/>
          <w:bCs/>
          <w:i w:val="false"/>
          <w:iCs w:val="false"/>
          <w:caps w:val="false"/>
          <w:smallCaps w:val="false"/>
          <w:strike w:val="false"/>
          <w:dstrike w:val="false"/>
          <w:color w:val="000000"/>
          <w:position w:val="0"/>
          <w:sz w:val="18"/>
          <w:sz w:val="18"/>
          <w:szCs w:val="18"/>
          <w:u w:val="none"/>
          <w:shd w:fill="auto" w:val="clear"/>
          <w:vertAlign w:val="baseline"/>
        </w:rPr>
        <w:t>Stundenlohn von brutto € 12,37.</w:t>
      </w: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 Der/Die Arbeitnehmer/in bestätigt ausdrücklich die Richtigkeit dieser Einstufung. </w:t>
      </w:r>
    </w:p>
    <w:p>
      <w:pPr>
        <w:pStyle w:val="Normal1"/>
        <w:keepNext w:val="false"/>
        <w:keepLines w:val="false"/>
        <w:pageBreakBefore w:val="false"/>
        <w:widowControl/>
        <w:numPr>
          <w:ilvl w:val="0"/>
          <w:numId w:val="1"/>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 Lohn zuzüglich allfälliger variabler Entgeltbestandteile und anderer Bezüge (z.B. Tagesgelder) ist jeweils zum 15. des Folgemonats fällig.</w:t>
      </w:r>
    </w:p>
    <w:p>
      <w:pPr>
        <w:pStyle w:val="Normal1"/>
        <w:keepNext w:val="false"/>
        <w:keepLines w:val="false"/>
        <w:pageBreakBefore w:val="false"/>
        <w:widowControl/>
        <w:numPr>
          <w:ilvl w:val="0"/>
          <w:numId w:val="1"/>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 Anspruch auf Sonderzahlungen (Urlaubszuschuss und Weihnachtsremuneration) richtet sich nach den Bestimmungen des anwendbaren Kollektivvertrages. Gemäß § 13 Abs. 4a des Kollektivvertrages beziehen sich die Ansprüche auf den Zeitraum vom 1. Dezember bis 30. November des Folgejahres und werden dabei jeweils quartalsweise im Ausmaß von einem Viertel ausbezahlt.</w:t>
      </w:r>
    </w:p>
    <w:p>
      <w:pPr>
        <w:pStyle w:val="Normal1"/>
        <w:keepNext w:val="false"/>
        <w:keepLines w:val="false"/>
        <w:pageBreakBefore w:val="false"/>
        <w:widowControl/>
        <w:numPr>
          <w:ilvl w:val="0"/>
          <w:numId w:val="1"/>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Gemäß § 13 Abs. 4b des anwendbaren Kollektivvertrages wird vereinbart, dass Urlaubszuschuss und Weihnachtsremuneration jeweils für das Kalenderjahr gebühren und die Auszahlung mit dem Mai- (Urlaubszuschuss) und Oktoberlohn (Weihnachtsremuneration) erfolgt. Sämtliche sonstigen Modalitäten (z.B. Höhe der Sonderzahlungen, die Auszahlungsmodalitäten im Kalenderjahr des Eintrittes, Vorgehen im Falle des unterjährigen Ausscheidens, etc.) richten sich nach den einschlägigen kollektivvertraglichen Bestimmungen.</w:t>
      </w:r>
    </w:p>
    <w:p>
      <w:pPr>
        <w:pStyle w:val="Normal1"/>
        <w:keepNext w:val="false"/>
        <w:keepLines w:val="false"/>
        <w:pageBreakBefore w:val="false"/>
        <w:widowControl/>
        <w:numPr>
          <w:ilvl w:val="0"/>
          <w:numId w:val="1"/>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erhält monatlich einen Lohnabrechnungsbeleg, in dem die Bruttobezüge und alle Abzüge ausgewiesen sind. Es liegt das Einverständnis vor, dass die Geldbezüge des/der Arbeitnehmers/in bargeldlos ausbezahlt werden. Die Auszahlung erfolgt durch Überweisung auf das vom/von der Arbeitnehmer/in bekanntzugebende Bankkonto bei einem in Österreich oder einem anderen EWR-Mitgliedstaat ansässigen Kreditinstitut.</w:t>
      </w:r>
    </w:p>
    <w:p>
      <w:pPr>
        <w:pStyle w:val="Normal1"/>
        <w:keepNext w:val="false"/>
        <w:keepLines w:val="false"/>
        <w:pageBreakBefore w:val="false"/>
        <w:widowControl w:val="false"/>
        <w:numPr>
          <w:ilvl w:val="0"/>
          <w:numId w:val="1"/>
        </w:numPr>
        <w:pBdr/>
        <w:shd w:val="clear" w:fill="auto"/>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ist nicht berechtigt, Entgeltansprüche ohne vorherige schriftliche Genehmigung des/der Arbeitgebers/in an Dritte abzutreten. Jede entgegen diesem Abtretungsverbot erfolgende Abtretung ist unabhängig davon, ob es sich um eine Sicherungszession oder eine Vollzession etc. handelt, unzulässig und für den/die Arbeitgeber/in daher nicht verbindlich.</w:t>
      </w:r>
    </w:p>
    <w:p>
      <w:pPr>
        <w:pStyle w:val="Normal1"/>
        <w:keepNext w:val="false"/>
        <w:keepLines w:val="false"/>
        <w:pageBreakBefore w:val="false"/>
        <w:widowControl w:val="false"/>
        <w:pBdr/>
        <w:shd w:val="clear" w:fill="auto"/>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40" w:before="0" w:after="0"/>
        <w:ind w:left="0"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val="false"/>
        <w:pBdr/>
        <w:shd w:val="clear" w:fill="auto"/>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40" w:before="0" w:after="0"/>
        <w:ind w:left="0"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sz w:val="18"/>
          <w:szCs w:val="18"/>
        </w:rPr>
        <w:br/>
        <w:br/>
        <w:br/>
        <w:br/>
      </w:r>
    </w:p>
    <w:p>
      <w:pPr>
        <w:pStyle w:val="Normal1"/>
        <w:keepNext w:val="false"/>
        <w:keepLines w:val="false"/>
        <w:pageBreakBefore w:val="false"/>
        <w:widowControl w:val="false"/>
        <w:pBdr/>
        <w:shd w:val="clear" w:fill="auto"/>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40" w:before="0" w:after="0"/>
        <w:ind w:left="0"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r>
    </w:p>
    <w:p>
      <w:pPr>
        <w:pStyle w:val="Normal1"/>
        <w:keepNext w:val="false"/>
        <w:keepLines w:val="false"/>
        <w:pageBreakBefore w:val="false"/>
        <w:widowControl w:val="false"/>
        <w:pBdr/>
        <w:shd w:val="clear" w:fill="auto"/>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40" w:before="0" w:after="0"/>
        <w:ind w:left="0" w:right="288"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r>
    </w:p>
    <w:p>
      <w:pPr>
        <w:pStyle w:val="Normal1"/>
        <w:rPr>
          <w:sz w:val="18"/>
          <w:szCs w:val="18"/>
        </w:rPr>
      </w:pPr>
      <w:r>
        <w:rPr/>
        <mc:AlternateContent>
          <mc:Choice Requires="wps">
            <w:drawing>
              <wp:inline distT="0" distB="0" distL="0" distR="0">
                <wp:extent cx="7479030" cy="28575"/>
                <wp:effectExtent l="0" t="0" r="0" b="0"/>
                <wp:docPr id="10" name="Shape 11"/>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1"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§5 Abeitszeit</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Die wöchentliche Arbeitszeit beträgt ausschließlich der Pausen </w:t>
      </w: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t>4 Stunden</w:t>
      </w: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Es liegt daher eine </w:t>
      </w: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t>Geringfügige</w:t>
      </w: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t>Beschäftigung</w:t>
      </w: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im Sinne des § 19d AZG vor. </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iCs/>
          <w:caps w:val="false"/>
          <w:smallCaps w:val="false"/>
          <w:strike w:val="false"/>
          <w:dstrike w:val="false"/>
          <w:color w:val="000000"/>
          <w:position w:val="0"/>
          <w:sz w:val="18"/>
          <w:sz w:val="18"/>
          <w:szCs w:val="18"/>
          <w:u w:val="none"/>
          <w:shd w:fill="auto" w:val="clear"/>
          <w:vertAlign w:val="baseline"/>
        </w:rPr>
        <w:t>Die Aufteilung der wöchentlichen Normalarbeitszeit auf die einzelnen Wochentage wird zwischen Arbeitgeber/in und Arbeitnehmer/in gesondert für die jeweilige Woche unter Rücksichtnahme auf die gesetzlichen und kollektivvertraglichen Grenzen der täglichen und wöchentlichen Normalarbeitszeit einvernehmlich festgelegt.</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Im Falle von Mehrarbeit wird Zeitausgleich im Sinne des § 19d Abs. 3b AZG innerhalb der dreimonatigen Durchrechnungsdauer vereinbart.</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Die Änderung von Schichtplänen richtet sich nach den Bestimmungen des Arbeitszeitgesetzes und des anwendbaren Kollektivvertrages.</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Arbeitgeber/in ist berechtigt, die Lage der Normalarbeitszeit entsprechend den Regelungen des § 19c AZG vorübergehend oder dauerhaft zu ändern, insbesondere wenn es geschäftliche, organisatorische, personalpolitische oder sonstige objektiv nachvollziehbare Gründe erfordern. Der/Die Arbeitnehmer/in ist im Bedarfsfall zur Arbeitsleistung auch an Sonn- und Feiertagen verpflichtet, sofern Sonn- und Feiertagsarbeit aufgrund der rechtlichen Bestimmungen zulässig ist.</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Der/Die Arbeitnehmer/in ist verpflichtet, die gesetzlichen Arbeitszeithöchstgrenzen, Ruhepausen und Ruhezeiten einzuhalten und Beginn und Ende der täglichen Arbeitszeit entsprechend zu erfassen. Der/Die Arbeitnehmer/in hat hierfür die im Betrieb zur Verfügung gestellten Zeiterfassungsformulare bzw. Zeiterfassungsprogramme zu verwenden. </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Dauert der Arbeitstag länger als sechs Stunden ist der/die Arbeitnehmer/in verpflichtet, seine/ihre tägliche Arbeitszeit durch eine unbezahlte Ruhepause von 30 Minuten zu unterbrechen. </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Der/Die Arbeitnehmer/in erklärt sich zur Leistung von Mehr- und Überstunden im erlaubten Ausmaß bereit. Dies gilt insbesondere auch für eine allfällige Einteilung zu Samstags-, Sonn- und Feiertagsarbeiten, soweit solche rechtlich zulässig sind. Vom/Von der Arbeitnehmer/in aus eigenem Antrieb geleistete Mehr- und Überstunden setzen eine Genehmigung durch den/die zuständige/n Vorgesetzte/n voraus, andernfalls sie als nicht geleistet gelten. </w:t>
      </w:r>
    </w:p>
    <w:p>
      <w:pPr>
        <w:pStyle w:val="Normal1"/>
        <w:keepNext w:val="false"/>
        <w:keepLines w:val="false"/>
        <w:pageBreakBefore w:val="false"/>
        <w:widowControl/>
        <w:numPr>
          <w:ilvl w:val="0"/>
          <w:numId w:val="2"/>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Mehr- und Überstunden werden, sofern keine abweichende Vereinbarung im Einzelfall getroffen wird, durch Zeitausgleich abgegolten.</w:t>
      </w:r>
    </w:p>
    <w:p>
      <w:pPr>
        <w:pStyle w:val="Normal1"/>
        <w:ind w:left="284" w:hanging="0"/>
        <w:rPr>
          <w:b/>
          <w:b/>
          <w:bCs/>
          <w:sz w:val="18"/>
          <w:szCs w:val="18"/>
        </w:rPr>
      </w:pPr>
      <w:r>
        <w:rPr>
          <w:b/>
          <w:bCs/>
          <w:sz w:val="18"/>
          <w:szCs w:val="18"/>
        </w:rPr>
      </w:r>
    </w:p>
    <w:p>
      <w:pPr>
        <w:pStyle w:val="Normal1"/>
        <w:rPr>
          <w:sz w:val="18"/>
          <w:szCs w:val="18"/>
        </w:rPr>
      </w:pPr>
      <w:r>
        <w:rPr/>
        <mc:AlternateContent>
          <mc:Choice Requires="wps">
            <w:drawing>
              <wp:inline distT="0" distB="0" distL="0" distR="0">
                <wp:extent cx="7479030" cy="28575"/>
                <wp:effectExtent l="0" t="0" r="0" b="0"/>
                <wp:docPr id="12" name="Shape 10"/>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0"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§6 Dienstverhinderung</w:t>
      </w:r>
    </w:p>
    <w:p>
      <w:pPr>
        <w:pStyle w:val="Normal1"/>
        <w:keepNext w:val="false"/>
        <w:keepLines w:val="false"/>
        <w:pageBreakBefore w:val="false"/>
        <w:widowControl/>
        <w:numPr>
          <w:ilvl w:val="0"/>
          <w:numId w:val="3"/>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Bei Dienstverhinderungen – gleich aus welchem Grunde – ist die Staffconnecting- Sebastijan Aleksandar Kerculj  vom/von der Arbeitnehmer/in unverzüglich über den Grund (im Krankheitsfall, ob es sich um eine Krankheit oder Unfall handelt) sowie die Dauer des Fernbleibens telefonisch oder mittels E-Mail zu verständigen. Meldungen per SMS oder WhatsApp sind nicht zulässig. Weiters wird darauf hingewiesen, dass die bloße Mitteilung gegenüber Arbeitskolleg/innen nicht als ordnungsgemäße Mitteilung an den/die Arbeitgeber/in gilt.</w:t>
      </w:r>
    </w:p>
    <w:p>
      <w:pPr>
        <w:pStyle w:val="Normal1"/>
        <w:keepNext w:val="false"/>
        <w:keepLines w:val="false"/>
        <w:pageBreakBefore w:val="false"/>
        <w:widowControl/>
        <w:numPr>
          <w:ilvl w:val="0"/>
          <w:numId w:val="3"/>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Auf Verlangen ist vom/von der Arbeitnehmer/in ein schriftlicher Nachweis über die Ursache und die (voraussichtliche) Dauer der Dienstverhinderung an den/die Arbeitgeber/in zu übermitteln. Dauert die Arbeitsunfähigkeit länger als in der Bescheinigung angegeben, so ist der/die Arbeitnehmer/in verpflichtet, unverzüglich eine neue Bescheinigung beizubringen. </w:t>
      </w:r>
    </w:p>
    <w:p>
      <w:pPr>
        <w:pStyle w:val="Normal1"/>
        <w:keepNext w:val="false"/>
        <w:keepLines w:val="false"/>
        <w:pageBreakBefore w:val="false"/>
        <w:widowControl/>
        <w:numPr>
          <w:ilvl w:val="0"/>
          <w:numId w:val="3"/>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Verstößt der/die Arbeitnehmer/in gegen die gesetzlichen oder in diesem Vertrag vereinbarten Melde- und/oder Nachweispflichten, so verliert er/sie für die Dauer der Säumnis den Entgeltanspruch. Der/Die Arbeitnehmer/in verpflichtet sich, zu Unrecht erhaltenes Entgelt zurückzuzahlen.</w:t>
      </w:r>
    </w:p>
    <w:p>
      <w:pPr>
        <w:pStyle w:val="Normal1"/>
        <w:keepNext w:val="false"/>
        <w:keepLines w:val="false"/>
        <w:pageBreakBefore w:val="false"/>
        <w:widowControl/>
        <w:numPr>
          <w:ilvl w:val="0"/>
          <w:numId w:val="3"/>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Weiters ist der/die Arbeitnehmer/in verpflichtet Freistellungsansprüche für Arztbesuche, ambulatorische Behandlungen, Zahnbehandlungen etc. unverzüglich nach Bekanntwerden der Staffconnecting -Sebastijan Aleksandar Kerculj e.U. mitzuteilen. Freistellungsansprüche für berechtigte Abwesenheiten stehen nur dann zu, wenn und soweit die Wahrnehmung dieser Termine außerhalb der Arbeitszeit nicht möglich oder nicht zumutbar ist.</w:t>
      </w:r>
    </w:p>
    <w:p>
      <w:pPr>
        <w:pStyle w:val="Normal1"/>
        <w:ind w:left="284" w:hanging="0"/>
        <w:rPr>
          <w:b/>
          <w:b/>
          <w:bCs/>
          <w:sz w:val="18"/>
          <w:szCs w:val="18"/>
        </w:rPr>
      </w:pPr>
      <w:r>
        <w:rPr>
          <w:b/>
          <w:bCs/>
          <w:sz w:val="18"/>
          <w:szCs w:val="18"/>
        </w:rPr>
      </w:r>
    </w:p>
    <w:p>
      <w:pPr>
        <w:pStyle w:val="Normal1"/>
        <w:rPr>
          <w:sz w:val="18"/>
          <w:szCs w:val="18"/>
        </w:rPr>
      </w:pPr>
      <w:r>
        <w:rPr/>
        <mc:AlternateContent>
          <mc:Choice Requires="wps">
            <w:drawing>
              <wp:inline distT="0" distB="0" distL="0" distR="0">
                <wp:extent cx="7479030" cy="28575"/>
                <wp:effectExtent l="0" t="0" r="0" b="0"/>
                <wp:docPr id="14" name="Shape 13"/>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3"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§7 Urlaubsanspruch</w:t>
      </w:r>
    </w:p>
    <w:p>
      <w:pPr>
        <w:pStyle w:val="Normal1"/>
        <w:keepNext w:val="false"/>
        <w:keepLines w:val="false"/>
        <w:pageBreakBefore w:val="false"/>
        <w:widowControl/>
        <w:numPr>
          <w:ilvl w:val="0"/>
          <w:numId w:val="5"/>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Das Ausmaß des jährlichen Erholungsurlaubes richtet sich nach den Bestimmungen des Urlaubsgesetzes und den kollektivvertraglichen Regelungen.</w:t>
      </w:r>
    </w:p>
    <w:p>
      <w:pPr>
        <w:pStyle w:val="Normal1"/>
        <w:keepNext w:val="false"/>
        <w:keepLines w:val="false"/>
        <w:pageBreakBefore w:val="false"/>
        <w:widowControl/>
        <w:numPr>
          <w:ilvl w:val="0"/>
          <w:numId w:val="5"/>
        </w:numPr>
        <w:pBdr/>
        <w:shd w:val="clear" w:fill="auto"/>
        <w:tabs>
          <w:tab w:val="clear" w:pos="720"/>
          <w:tab w:val="left" w:pos="11340" w:leader="none"/>
        </w:tabs>
        <w:spacing w:lineRule="auto" w:line="240" w:before="0" w:after="0"/>
        <w:ind w:left="720" w:right="43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erklärt sein/ihr Einverständnis dazu, dass alljährlich ein Betriebsurlaub in der Regel in den Kalenderwochen 50 und 52 stattfindet und dass er/sie in diesem Zeitraum einen entsprechenden Teil seines/ihres Urlaubs konsumieren wird.</w:t>
      </w:r>
    </w:p>
    <w:p>
      <w:pPr>
        <w:pStyle w:val="Normal1"/>
        <w:rPr>
          <w:sz w:val="18"/>
          <w:szCs w:val="18"/>
        </w:rPr>
      </w:pPr>
      <w:r>
        <w:rPr/>
        <mc:AlternateContent>
          <mc:Choice Requires="wps">
            <w:drawing>
              <wp:inline distT="0" distB="0" distL="0" distR="0">
                <wp:extent cx="7479030" cy="28575"/>
                <wp:effectExtent l="0" t="0" r="0" b="0"/>
                <wp:docPr id="16" name="Shape 12"/>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2"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§8 Verschwiegenheitspflicht und Datenschutz</w:t>
      </w:r>
    </w:p>
    <w:p>
      <w:pPr>
        <w:pStyle w:val="Normal1"/>
        <w:keepNext w:val="false"/>
        <w:keepLines w:val="false"/>
        <w:pageBreakBefore w:val="false"/>
        <w:widowControl/>
        <w:numPr>
          <w:ilvl w:val="0"/>
          <w:numId w:val="4"/>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Der/Die Arbeitnehmer/in ist entsprechend seiner/ihrer Treuepflicht zu strenger Verschwiegenheit betreffend alle Betriebs- und Geschäftsgeheimnisse verpflichtet. Diese Pflicht besteht auch nach Ende des Dienstverhältnisses weiter. </w:t>
      </w:r>
    </w:p>
    <w:p>
      <w:pPr>
        <w:pStyle w:val="Normal1"/>
        <w:keepNext w:val="false"/>
        <w:keepLines w:val="false"/>
        <w:pageBreakBefore w:val="false"/>
        <w:widowControl/>
        <w:numPr>
          <w:ilvl w:val="0"/>
          <w:numId w:val="4"/>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Gleiches gilt für sonstige Daten und Umstände, die ihrer Art nach einer vertraulichen Behandlung bedürfen. Auch das Datengeheimnis gemäß den datenschutzrechtlichen Bestimmungen ist zu wahren.</w:t>
      </w:r>
    </w:p>
    <w:p>
      <w:pPr>
        <w:pStyle w:val="Normal1"/>
        <w:keepNext w:val="false"/>
        <w:keepLines w:val="false"/>
        <w:pageBreakBefore w:val="false"/>
        <w:widowControl/>
        <w:numPr>
          <w:ilvl w:val="0"/>
          <w:numId w:val="4"/>
        </w:numPr>
        <w:pBdr/>
        <w:shd w:val="clear" w:fill="auto"/>
        <w:spacing w:lineRule="auto" w:line="240" w:before="0" w:after="0"/>
        <w:ind w:left="720" w:right="288"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bestätigt, dass er/sie über die Erhebung seiner/ihrer personenbezogenen Daten vom/von der Arbeitgeber/in korrekt und vollständig gemäß den Bestimmungen der Datenschutzgrund-Verordnung (DSGVO) informiert worden ist.</w:t>
      </w:r>
    </w:p>
    <w:p>
      <w:pPr>
        <w:pStyle w:val="Normal1"/>
        <w:rPr>
          <w:sz w:val="18"/>
          <w:szCs w:val="18"/>
        </w:rPr>
      </w:pPr>
      <w:r>
        <w:rPr/>
        <mc:AlternateContent>
          <mc:Choice Requires="wps">
            <w:drawing>
              <wp:inline distT="0" distB="0" distL="0" distR="0">
                <wp:extent cx="7479030" cy="28575"/>
                <wp:effectExtent l="0" t="0" r="0" b="0"/>
                <wp:docPr id="18" name="Shape 15"/>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5"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§9 Nebenbeschäftigungen, andere Tätigkeiten und Beteiligungen</w:t>
      </w:r>
    </w:p>
    <w:p>
      <w:pPr>
        <w:pStyle w:val="Normal1"/>
        <w:keepNext w:val="false"/>
        <w:keepLines w:val="false"/>
        <w:pageBreakBefore w:val="false"/>
        <w:widowControl/>
        <w:numPr>
          <w:ilvl w:val="0"/>
          <w:numId w:val="6"/>
        </w:numPr>
        <w:pBdr/>
        <w:shd w:val="clear" w:fill="auto"/>
        <w:spacing w:lineRule="auto" w:line="240" w:before="0" w:after="0"/>
        <w:ind w:left="720" w:right="288"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ist verpflichtet, dem/der Arbeitgeber/in sämtliche bei Vertragsabschluss bereits bestehende Erwerbstätigkeiten, Nebenbeschäftigungen und Beteiligungen, welcher Art auch immer (insbesondere andere unselbständige, selbständige oder ehrenamtliche Tätigkeiten sowie Beteiligungen an Unternehmen, etc.) mitzuteilen. Ebenso besteht eine Mitteilungspflicht, wenn die Aufnahme einer der vorstehend genannten Betätigungen während des laufenden Dienstverhältnisses beabsichtigt wird.</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In welchen Fällen der/die Arbeitgeber/in die Aufnahme bzw. Ausübung untersagen darf, richtet sich nach den einschlägigen gesetzlichen Bestimmungen. Festgehalten wird, dass eine Untersagung dabei nicht zwingend im unmittelbaren Zusammenhang mit der Mitteilung durch den/die Arbeitnehmer/in erfolgen muss, sondern gegebenenfalls auch erst zu einem späteren Zeitpunkt – insbesondere nach dem Auftreten oder Bekanntwerden von Untersagungsgründen – ausgesprochen werden kann.</w:t>
      </w:r>
    </w:p>
    <w:p>
      <w:pPr>
        <w:pStyle w:val="Normal1"/>
        <w:rPr>
          <w:sz w:val="18"/>
          <w:szCs w:val="18"/>
        </w:rPr>
      </w:pPr>
      <w:r>
        <w:rPr/>
        <mc:AlternateContent>
          <mc:Choice Requires="wps">
            <w:drawing>
              <wp:inline distT="0" distB="0" distL="0" distR="0">
                <wp:extent cx="7479030" cy="28575"/>
                <wp:effectExtent l="0" t="0" r="0" b="0"/>
                <wp:docPr id="20" name="Shape 14"/>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14"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§10 Sonstige Mitteilungspflichten</w:t>
      </w:r>
    </w:p>
    <w:p>
      <w:pPr>
        <w:pStyle w:val="Normal1"/>
        <w:keepNext w:val="false"/>
        <w:keepLines w:val="false"/>
        <w:pageBreakBefore w:val="false"/>
        <w:widowControl/>
        <w:numPr>
          <w:ilvl w:val="0"/>
          <w:numId w:val="7"/>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bookmarkStart w:id="0" w:name="_7zz5dks3tg3y"/>
      <w:bookmarkEnd w:id="0"/>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Der/Die Arbeitnehmer/in ist verpflichtet, jegliche Änderungen, die in seiner/ihrer Person begründet sind und das Dienstverhältnis betreffen (z.B. Änderung des angegebenen Wohnsitzes; Änderung der zwecks Erreichbarkeit angegebenen Telefonnummer; Krankheiten, die die vertragliche Tätigkeit beeinträchtigen können) unverzüglich dem/der Arbeitgeber/in mitzuteilen. Im Falle einer unterbliebenen Mitteilung ist der/die Arbeitnehmer/in für alle sich daraus ergebenden Rechtsfolgen und Kosten verantwortlich.</w:t>
      </w:r>
    </w:p>
    <w:p>
      <w:pPr>
        <w:pStyle w:val="Normal1"/>
        <w:keepNext w:val="false"/>
        <w:keepLines w:val="false"/>
        <w:pageBreakBefore w:val="false"/>
        <w:widowControl/>
        <w:numPr>
          <w:ilvl w:val="0"/>
          <w:numId w:val="7"/>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Scheitert der Zugang von Briefen an den/die Arbeitnehmer/in aufgrund fehlender oder fehlerhafter Zugangsvorrichtungen oder nicht mitgeteilter Änderungen der Anschrift, gilt das Schreiben im Zeitpunkt des ersten Zustellungsversuches am letzten mitgeteilten Wohnort des/der Arbeitnehmers/in als zugegangen.</w:t>
      </w:r>
    </w:p>
    <w:p>
      <w:pPr>
        <w:pStyle w:val="Normal1"/>
        <w:rPr>
          <w:sz w:val="18"/>
          <w:szCs w:val="18"/>
        </w:rPr>
      </w:pPr>
      <w:r>
        <w:rPr/>
        <mc:AlternateContent>
          <mc:Choice Requires="wps">
            <w:drawing>
              <wp:inline distT="0" distB="0" distL="0" distR="0">
                <wp:extent cx="7479030" cy="28575"/>
                <wp:effectExtent l="0" t="0" r="0" b="0"/>
                <wp:docPr id="22" name="Shape 5"/>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5"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§11 Verfall von Ansprüchen</w:t>
      </w:r>
    </w:p>
    <w:p>
      <w:pPr>
        <w:pStyle w:val="Normal1"/>
        <w:ind w:left="284" w:hanging="0"/>
        <w:rPr>
          <w:sz w:val="18"/>
          <w:szCs w:val="18"/>
        </w:rPr>
      </w:pPr>
      <w:r>
        <w:rPr>
          <w:sz w:val="18"/>
          <w:szCs w:val="18"/>
        </w:rPr>
        <w:t xml:space="preserve">(1) Es gelten gültige Kollektivvertragliche Bestimmungen beim Verfall von Ansprüchen gegenüber dem Arbeitnehmer. </w:t>
      </w:r>
    </w:p>
    <w:p>
      <w:pPr>
        <w:pStyle w:val="Normal1"/>
        <w:ind w:left="284" w:hanging="0"/>
        <w:rPr>
          <w:sz w:val="18"/>
          <w:szCs w:val="18"/>
        </w:rPr>
      </w:pPr>
      <w:r>
        <w:rPr>
          <w:sz w:val="18"/>
          <w:szCs w:val="18"/>
        </w:rPr>
      </w:r>
    </w:p>
    <w:p>
      <w:pPr>
        <w:pStyle w:val="Normal1"/>
        <w:rPr>
          <w:sz w:val="18"/>
          <w:szCs w:val="18"/>
        </w:rPr>
      </w:pPr>
      <w:r>
        <w:rPr/>
        <mc:AlternateContent>
          <mc:Choice Requires="wps">
            <w:drawing>
              <wp:inline distT="0" distB="0" distL="0" distR="0">
                <wp:extent cx="7479030" cy="28575"/>
                <wp:effectExtent l="0" t="0" r="0" b="0"/>
                <wp:docPr id="24" name="Shape 3"/>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3"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 xml:space="preserve">§12 Kündigung des Dienstverhältnisses </w:t>
      </w:r>
    </w:p>
    <w:p>
      <w:pPr>
        <w:pStyle w:val="Normal1"/>
        <w:keepNext w:val="false"/>
        <w:keepLines w:val="false"/>
        <w:pageBreakBefore w:val="false"/>
        <w:widowControl/>
        <w:numPr>
          <w:ilvl w:val="0"/>
          <w:numId w:val="8"/>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Für die Kündigungsfrist und den Kündigungstermin gelten die Bestimmungen einschlägigen Kollektivvertrages in der jeweils gültigen Fassung. Vor dem Hintergrund der besonderen Eigenschaften des Denkmal-, Fassaden und Gebäudereinigungsgewerbes haben die Kollektivvertragspartner übereinstimmend und ausdrücklich festgehalten, dass es sich bei der Denkmal-, Fassaden und Gebäudereinigung um eine Saisonbranche im Sinne von § 1159 Abs. 2 ABGB handelt und dass die kollektivvertraglichen Sonderregelungen betreffend Kündigungsfrist und Kündigungstermin daher weiterhin anwendbar sind.</w:t>
      </w:r>
    </w:p>
    <w:p>
      <w:pPr>
        <w:pStyle w:val="Normal1"/>
        <w:keepNext w:val="false"/>
        <w:keepLines w:val="false"/>
        <w:pageBreakBefore w:val="false"/>
        <w:widowControl/>
        <w:numPr>
          <w:ilvl w:val="0"/>
          <w:numId w:val="8"/>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Kündigungen können entsprechend den Bestimmungen des ABGB schriftlich, mündlich oder konkludent erfolgen.</w:t>
      </w:r>
    </w:p>
    <w:p>
      <w:pPr>
        <w:pStyle w:val="Normal1"/>
        <w:keepNext w:val="false"/>
        <w:keepLines w:val="false"/>
        <w:pageBreakBefore w:val="false"/>
        <w:widowControl/>
        <w:numPr>
          <w:ilvl w:val="0"/>
          <w:numId w:val="8"/>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Kündigungen müssen bei sonstiger Rechtsunwirksamkeit schriftlich erfolgen.</w:t>
      </w:r>
    </w:p>
    <w:p>
      <w:pPr>
        <w:pStyle w:val="Normal1"/>
        <w:keepNext w:val="false"/>
        <w:keepLines w:val="false"/>
        <w:pageBreakBefore w:val="false"/>
        <w:widowControl/>
        <w:numPr>
          <w:ilvl w:val="0"/>
          <w:numId w:val="8"/>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Es wird auf den allgemeinen Kündigungsschutz gemäß § 105 ArbVG verwiesen.</w:t>
      </w:r>
    </w:p>
    <w:p>
      <w:pPr>
        <w:pStyle w:val="Normal1"/>
        <w:rPr>
          <w:sz w:val="18"/>
          <w:szCs w:val="18"/>
        </w:rPr>
      </w:pPr>
      <w:r>
        <w:rPr/>
        <mc:AlternateContent>
          <mc:Choice Requires="wps">
            <w:drawing>
              <wp:inline distT="0" distB="0" distL="0" distR="0">
                <wp:extent cx="7479030" cy="28575"/>
                <wp:effectExtent l="0" t="0" r="0" b="0"/>
                <wp:docPr id="26" name="Shape 4"/>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4"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§13 Sonstiges</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Gemäß § 2 Abs. 2 Z. 6 AVRAG wird festgehalten, dass sich der Unternehmenssitz in Wien befindet.</w:t>
      </w:r>
    </w:p>
    <w:p>
      <w:pPr>
        <w:pStyle w:val="Normal1"/>
        <w:keepNext w:val="false"/>
        <w:keepLines w:val="false"/>
        <w:pageBreakBefore w:val="false"/>
        <w:widowControl/>
        <w:numPr>
          <w:ilvl w:val="0"/>
          <w:numId w:val="9"/>
        </w:numPr>
        <w:pBdr/>
        <w:shd w:val="clear" w:fill="auto"/>
        <w:tabs>
          <w:tab w:val="clear" w:pos="720"/>
          <w:tab w:val="left" w:pos="11337" w:leader="none"/>
        </w:tabs>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Mündliche Nebenabreden wurden zum vorliegenden Dienstvertrag nicht getroffen. Änderungen und Ergänzungen dieses Dienstvertrages bedürfen zu ihrer Rechtswirksamkeit der Schriftform. Allfällige in diesem Vertrag erwähnten Anlagen und Anhänge sind wesentlicher Bestandteil dieses Vertrages und bedürfen zu ihrer Abänderung oder Aufhebung der Abzeichnung beider Parteien.</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Für den Fall, dass einzelne Bestimmungen dieses Vertrages wider Erwarten unwirksam sein sollten, bleiben die übrigen Bestimmungen des Vertrages davon unberührt. Anstelle einer unwirksamen Bestimmung gilt jeweils eine Regelung als vereinbart, die dem wirtschaftlichen Zweck der unwirksamen Bestimmung möglichst nahekommt.</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Der/Die Arbeitnehmer/in erklärt mit seiner/ihrer Unterschrift, dass er/sie den gesamten Vertragsinhalt gelesen und verstanden hat, und mit allen Inhalten ausdrücklich einverstanden ist. Der/Die Arbeitnehmer/in bestätigt eine schriftliche Ausfertigung des vorliegenden Dienstvertrages erhalten zu haben. </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 xml:space="preserve">Für das vorliegende Dienstverhältnis kommen neben den allgemeinen gesetzlichen Regelungen (z.B. Entgeltfortzahlungsgesetz, Urlaubsgesetz, Arbeitsvertragsrechts-Anpassungsgesetz, Arbeitszeitgesetz etc.) insbesondere die Bestimmungen des Rahmenkollektivvertrages für Arbeiterinnen/Arbeiter in der Denkmal-, Fassaden- und Gebäudereinigung, im sonstigen Reinigungsgewerbe und in Hausbetreuungstätigkeiten samt allfälliger Zusatzkollektivverträge, in der jeweils geltenden Fassung zur Anwendung. </w:t>
      </w:r>
    </w:p>
    <w:p>
      <w:pPr>
        <w:pStyle w:val="Normal1"/>
        <w:keepNext w:val="false"/>
        <w:keepLines w:val="false"/>
        <w:pageBreakBefore w:val="false"/>
        <w:widowControl/>
        <w:numPr>
          <w:ilvl w:val="0"/>
          <w:numId w:val="9"/>
        </w:numPr>
        <w:pBdr/>
        <w:shd w:val="clear" w:fill="auto"/>
        <w:spacing w:lineRule="auto" w:line="240" w:before="0" w:after="0"/>
        <w:ind w:left="720" w:right="430" w:hanging="360"/>
        <w:jc w:val="both"/>
        <w:rPr>
          <w:rFonts w:ascii="Calibri" w:hAnsi="Calibri" w:eastAsia="Calibri" w:cs="Calibri"/>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 w:val="18"/>
          <w:szCs w:val="18"/>
          <w:u w:val="none"/>
          <w:shd w:fill="auto" w:val="clear"/>
          <w:vertAlign w:val="baseline"/>
        </w:rPr>
        <w:t>Das gegenständliche Dienstverhältnis unterliegt der Pflichtversicherung nach dem ASVG. Der zuständige Sozialversicherungsträger ist die Österreichische Gesundheitskasse (ÖGK), 1100 Wien, Wienerbergstraße 15-19.</w:t>
      </w:r>
    </w:p>
    <w:p>
      <w:pPr>
        <w:pStyle w:val="Normal1"/>
        <w:rPr>
          <w:sz w:val="18"/>
          <w:szCs w:val="18"/>
        </w:rPr>
      </w:pPr>
      <w:r>
        <w:rPr/>
        <mc:AlternateContent>
          <mc:Choice Requires="wps">
            <w:drawing>
              <wp:inline distT="0" distB="0" distL="0" distR="0">
                <wp:extent cx="7479030" cy="28575"/>
                <wp:effectExtent l="0" t="0" r="0" b="0"/>
                <wp:docPr id="28" name="Shape 2"/>
                <a:graphic xmlns:a="http://schemas.openxmlformats.org/drawingml/2006/main">
                  <a:graphicData uri="http://schemas.microsoft.com/office/word/2010/wordprocessingShape">
                    <wps:wsp>
                      <wps:cNvSpPr/>
                      <wps:spPr>
                        <a:xfrm>
                          <a:off x="0" y="0"/>
                          <a:ext cx="747900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left="0" w:right="0" w:hanging="0"/>
                              <w:jc w:val="left"/>
                              <w:rPr/>
                            </w:pPr>
                            <w:r>
                              <w:rPr/>
                            </w:r>
                          </w:p>
                        </w:txbxContent>
                      </wps:txbx>
                      <wps:bodyPr tIns="182880" bIns="182880" anchor="ctr">
                        <a:noAutofit/>
                      </wps:bodyPr>
                    </wps:wsp>
                  </a:graphicData>
                </a:graphic>
              </wp:inline>
            </w:drawing>
          </mc:Choice>
          <mc:Fallback>
            <w:pict>
              <v:rect id="shape_0" ID="Shape 2" path="m0,0l-2147483645,0l-2147483645,-2147483646l0,-2147483646xe" fillcolor="#a0a0a0" stroked="f" o:allowincell="f" style="position:absolute;margin-left:0pt;margin-top:-2.3pt;width:588.85pt;height:2.2pt;mso-wrap-style:none;v-text-anchor:middle;mso-position-vertical:top">
                <v:fill o:detectmouseclick="t" type="solid" color2="#5f5f5f"/>
                <v:stroke color="#3465a4" joinstyle="round" endcap="flat"/>
                <v:textbox>
                  <w:txbxContent>
                    <w:p>
                      <w:pPr>
                        <w:pStyle w:val="FrameContents"/>
                        <w:spacing w:lineRule="exact" w:line="240" w:before="0" w:after="0"/>
                        <w:ind w:left="0" w:right="0" w:hanging="0"/>
                        <w:jc w:val="left"/>
                        <w:rPr/>
                      </w:pPr>
                      <w:r>
                        <w:rPr/>
                      </w:r>
                    </w:p>
                  </w:txbxContent>
                </v:textbox>
                <w10:wrap type="square"/>
              </v:rect>
            </w:pict>
          </mc:Fallback>
        </mc:AlternateContent>
      </w:r>
    </w:p>
    <w:p>
      <w:pPr>
        <w:pStyle w:val="Normal1"/>
        <w:ind w:left="284" w:hanging="0"/>
        <w:rPr>
          <w:b/>
          <w:b/>
          <w:bCs/>
          <w:sz w:val="18"/>
          <w:szCs w:val="18"/>
        </w:rPr>
      </w:pPr>
      <w:r>
        <w:rPr>
          <w:b/>
          <w:bCs/>
          <w:sz w:val="18"/>
          <w:szCs w:val="18"/>
        </w:rPr>
        <w:t>§14 Schlussbestimmungen</w:t>
      </w:r>
    </w:p>
    <w:p>
      <w:pPr>
        <w:pStyle w:val="Normal1"/>
        <w:ind w:left="284" w:hanging="0"/>
        <w:rPr>
          <w:sz w:val="18"/>
          <w:szCs w:val="18"/>
        </w:rPr>
      </w:pPr>
      <w:r>
        <w:rPr>
          <w:sz w:val="18"/>
          <w:szCs w:val="18"/>
        </w:rPr>
        <w:t>(1) Änderungen und Ergänzungen dieser Vereinbarung bedürfen der Schriftform.</w:t>
      </w:r>
    </w:p>
    <w:p>
      <w:pPr>
        <w:pStyle w:val="Normal1"/>
        <w:ind w:left="284" w:hanging="0"/>
        <w:rPr>
          <w:sz w:val="18"/>
          <w:szCs w:val="18"/>
        </w:rPr>
      </w:pPr>
      <w:r>
        <w:rPr>
          <w:sz w:val="18"/>
          <w:szCs w:val="18"/>
        </w:rPr>
        <w:t>(2) Sollten einzelne Bestimmungen unwirksam sein oder werden, bleibt die Wirksamkeit der übrigen Bestimmungen unberührt.</w:t>
      </w:r>
    </w:p>
    <w:p>
      <w:pPr>
        <w:pStyle w:val="Normal1"/>
        <w:ind w:left="284" w:hanging="0"/>
        <w:rPr>
          <w:sz w:val="18"/>
          <w:szCs w:val="18"/>
        </w:rPr>
      </w:pPr>
      <w:r>
        <w:rPr>
          <w:sz w:val="18"/>
          <w:szCs w:val="18"/>
        </w:rPr>
        <w:t>(3) Es gilt österreichisches Recht. Gerichtsstand ist Wien.</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6"/>
          <w:sz w:val="16"/>
          <w:szCs w:val="16"/>
          <w:u w:val="none"/>
          <w:shd w:fill="auto" w:val="clear"/>
          <w:vertAlign w:val="baseline"/>
        </w:rPr>
        <w:tab/>
        <w:br/>
      </w:r>
    </w:p>
    <w:tbl>
      <w:tblPr>
        <w:tblStyle w:val="Table1"/>
        <w:tblW w:w="10760" w:type="dxa"/>
        <w:jc w:val="left"/>
        <w:tblInd w:w="421" w:type="dxa"/>
        <w:tblLayout w:type="fixed"/>
        <w:tblCellMar>
          <w:top w:w="0" w:type="dxa"/>
          <w:left w:w="108" w:type="dxa"/>
          <w:bottom w:w="0" w:type="dxa"/>
          <w:right w:w="108" w:type="dxa"/>
        </w:tblCellMar>
        <w:tblLook w:val="0400"/>
      </w:tblPr>
      <w:tblGrid>
        <w:gridCol w:w="652"/>
        <w:gridCol w:w="1480"/>
        <w:gridCol w:w="3776"/>
        <w:gridCol w:w="4851"/>
      </w:tblGrid>
      <w:tr>
        <w:trPr>
          <w:trHeight w:val="287" w:hRule="atLeast"/>
        </w:trPr>
        <w:tc>
          <w:tcPr>
            <w:tcW w:w="652" w:type="dxa"/>
            <w:tcBorders>
              <w:bottom w:val="single" w:sz="4" w:space="0" w:color="000000"/>
            </w:tcBorders>
          </w:tcPr>
          <w:p>
            <w:pPr>
              <w:pStyle w:val="Normal1"/>
              <w:widowControl w:val="false"/>
              <w:spacing w:lineRule="auto" w:line="240" w:before="0" w:after="0"/>
              <w:jc w:val="both"/>
              <w:rPr>
                <w:b/>
                <w:b/>
                <w:bCs/>
                <w:sz w:val="18"/>
                <w:szCs w:val="18"/>
              </w:rPr>
            </w:pPr>
            <w:r>
              <w:rPr>
                <w:b/>
                <w:bCs/>
                <w:sz w:val="18"/>
                <w:szCs w:val="18"/>
              </w:rPr>
            </w:r>
          </w:p>
        </w:tc>
        <w:tc>
          <w:tcPr>
            <w:tcW w:w="1480" w:type="dxa"/>
            <w:tcBorders>
              <w:bottom w:val="single" w:sz="4" w:space="0" w:color="000000"/>
            </w:tcBorders>
          </w:tcPr>
          <w:p>
            <w:pPr>
              <w:pStyle w:val="Normal1"/>
              <w:widowControl w:val="false"/>
              <w:spacing w:lineRule="auto" w:line="240" w:before="0" w:after="0"/>
              <w:jc w:val="both"/>
              <w:rPr>
                <w:b/>
                <w:b/>
                <w:bCs/>
                <w:sz w:val="18"/>
                <w:szCs w:val="18"/>
              </w:rPr>
            </w:pPr>
            <w:r>
              <w:rPr>
                <w:b/>
                <w:bCs/>
                <w:sz w:val="18"/>
                <w:szCs w:val="18"/>
              </w:rPr>
            </w:r>
          </w:p>
        </w:tc>
        <w:tc>
          <w:tcPr>
            <w:tcW w:w="3776" w:type="dxa"/>
            <w:tcBorders>
              <w:bottom w:val="single" w:sz="4" w:space="0" w:color="000000"/>
            </w:tcBorders>
          </w:tcPr>
          <w:p>
            <w:pPr>
              <w:pStyle w:val="Normal1"/>
              <w:widowControl w:val="false"/>
              <w:spacing w:lineRule="auto" w:line="240" w:before="0" w:after="0"/>
              <w:jc w:val="both"/>
              <w:rPr>
                <w:b/>
                <w:b/>
                <w:bCs/>
                <w:sz w:val="18"/>
                <w:szCs w:val="18"/>
              </w:rPr>
            </w:pPr>
            <w:r>
              <w:rPr>
                <w:b/>
                <w:bCs/>
                <w:sz w:val="18"/>
                <w:szCs w:val="18"/>
              </w:rPr>
            </w:r>
          </w:p>
        </w:tc>
        <w:tc>
          <w:tcPr>
            <w:tcW w:w="4851" w:type="dxa"/>
            <w:tcBorders>
              <w:bottom w:val="single" w:sz="4" w:space="0" w:color="000000"/>
            </w:tcBorders>
          </w:tcPr>
          <w:p>
            <w:pPr>
              <w:pStyle w:val="Normal1"/>
              <w:widowControl w:val="false"/>
              <w:spacing w:lineRule="auto" w:line="240" w:before="0" w:after="0"/>
              <w:jc w:val="both"/>
              <w:rPr>
                <w:b/>
                <w:b/>
                <w:bCs/>
                <w:sz w:val="18"/>
                <w:szCs w:val="18"/>
              </w:rPr>
            </w:pPr>
            <w:r>
              <w:rPr>
                <w:b/>
                <w:bCs/>
                <w:sz w:val="18"/>
                <w:szCs w:val="18"/>
              </w:rPr>
            </w:r>
          </w:p>
        </w:tc>
      </w:tr>
      <w:tr>
        <w:trPr>
          <w:trHeight w:val="255" w:hRule="atLeast"/>
        </w:trPr>
        <w:tc>
          <w:tcPr>
            <w:tcW w:w="652" w:type="dxa"/>
            <w:tcBorders>
              <w:top w:val="single" w:sz="4" w:space="0" w:color="000000"/>
            </w:tcBorders>
          </w:tcPr>
          <w:p>
            <w:pPr>
              <w:pStyle w:val="Normal1"/>
              <w:widowControl w:val="false"/>
              <w:spacing w:lineRule="auto" w:line="240" w:before="0" w:after="0"/>
              <w:jc w:val="both"/>
              <w:rPr>
                <w:b/>
                <w:b/>
                <w:bCs/>
                <w:sz w:val="18"/>
                <w:szCs w:val="18"/>
              </w:rPr>
            </w:pPr>
            <w:r>
              <w:rPr>
                <w:sz w:val="16"/>
                <w:szCs w:val="16"/>
              </w:rPr>
              <w:t>Ort</w:t>
            </w:r>
          </w:p>
        </w:tc>
        <w:tc>
          <w:tcPr>
            <w:tcW w:w="1480" w:type="dxa"/>
            <w:tcBorders>
              <w:top w:val="single" w:sz="4" w:space="0" w:color="000000"/>
            </w:tcBorders>
          </w:tcPr>
          <w:p>
            <w:pPr>
              <w:pStyle w:val="Normal1"/>
              <w:widowControl w:val="false"/>
              <w:spacing w:lineRule="auto" w:line="240" w:before="0" w:after="0"/>
              <w:jc w:val="both"/>
              <w:rPr>
                <w:b/>
                <w:b/>
                <w:bCs/>
                <w:sz w:val="18"/>
                <w:szCs w:val="18"/>
              </w:rPr>
            </w:pPr>
            <w:r>
              <w:rPr>
                <w:sz w:val="16"/>
                <w:szCs w:val="16"/>
              </w:rPr>
              <w:t>Datum</w:t>
            </w:r>
          </w:p>
        </w:tc>
        <w:tc>
          <w:tcPr>
            <w:tcW w:w="3776" w:type="dxa"/>
            <w:tcBorders>
              <w:top w:val="single" w:sz="4" w:space="0" w:color="000000"/>
            </w:tcBorders>
          </w:tcPr>
          <w:p>
            <w:pPr>
              <w:pStyle w:val="Normal1"/>
              <w:widowControl w:val="false"/>
              <w:spacing w:lineRule="auto" w:line="240" w:before="0" w:after="0"/>
              <w:jc w:val="both"/>
              <w:rPr>
                <w:b/>
                <w:b/>
                <w:bCs/>
                <w:sz w:val="18"/>
                <w:szCs w:val="18"/>
              </w:rPr>
            </w:pPr>
            <w:r>
              <w:rPr>
                <w:sz w:val="16"/>
                <w:szCs w:val="16"/>
              </w:rPr>
              <w:t>Unterschrift (Arbeitgeber)</w:t>
            </w:r>
          </w:p>
        </w:tc>
        <w:tc>
          <w:tcPr>
            <w:tcW w:w="4851" w:type="dxa"/>
            <w:tcBorders>
              <w:top w:val="single" w:sz="4" w:space="0" w:color="000000"/>
            </w:tcBorders>
          </w:tcPr>
          <w:p>
            <w:pPr>
              <w:pStyle w:val="Normal1"/>
              <w:widowControl w:val="false"/>
              <w:spacing w:lineRule="auto" w:line="240" w:before="0" w:after="0"/>
              <w:jc w:val="both"/>
              <w:rPr>
                <w:b/>
                <w:b/>
                <w:bCs/>
                <w:sz w:val="18"/>
                <w:szCs w:val="18"/>
              </w:rPr>
            </w:pPr>
            <w:r>
              <w:rPr>
                <w:sz w:val="16"/>
                <w:szCs w:val="16"/>
              </w:rPr>
              <w:t>Unterschrift (Arbeitnehmer)</w:t>
            </w:r>
          </w:p>
        </w:tc>
      </w:tr>
    </w:tbl>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sectPr>
          <w:footerReference w:type="default" r:id="rId3"/>
          <w:type w:val="nextPage"/>
          <w:pgSz w:w="11906" w:h="16850"/>
          <w:pgMar w:left="140" w:right="3" w:gutter="0" w:header="0" w:top="460" w:footer="0" w:bottom="280"/>
          <w:pgNumType w:start="1" w:fmt="decimal"/>
          <w:formProt w:val="false"/>
          <w:textDirection w:val="lrTb"/>
          <w:docGrid w:type="default" w:linePitch="100" w:charSpace="4096"/>
        </w:sectPr>
      </w:pPr>
    </w:p>
    <w:p>
      <w:pPr>
        <w:pStyle w:val="Heading1"/>
        <w:ind w:left="244" w:hanging="0"/>
        <w:rPr/>
      </w:pPr>
      <w:r>
        <w:rPr/>
        <w:br/>
        <w:t>STAFFCONNECTIING</w:t>
      </w:r>
    </w:p>
    <w:p>
      <w:pPr>
        <w:pStyle w:val="Normal1"/>
        <w:spacing w:lineRule="auto" w:line="290" w:before="45" w:after="0"/>
        <w:ind w:hanging="0"/>
        <w:rPr>
          <w:sz w:val="16"/>
          <w:szCs w:val="16"/>
        </w:rPr>
      </w:pPr>
      <w:r>
        <w:rPr>
          <w:sz w:val="16"/>
          <w:szCs w:val="16"/>
        </w:rPr>
        <w:t xml:space="preserve">       </w:t>
      </w:r>
      <w:r>
        <w:rPr>
          <w:sz w:val="16"/>
          <w:szCs w:val="16"/>
        </w:rPr>
        <w:t xml:space="preserve">Gründer und Inhaber </w:t>
        <w:br/>
        <w:t xml:space="preserve">     </w:t>
      </w:r>
      <w:r>
        <w:rPr>
          <w:sz w:val="16"/>
          <w:szCs w:val="16"/>
        </w:rPr>
        <w:t xml:space="preserve">  </w:t>
      </w:r>
      <w:r>
        <w:rPr>
          <w:sz w:val="16"/>
          <w:szCs w:val="16"/>
        </w:rPr>
        <w:t xml:space="preserve">Sebastijan Aleksandar Kerculj </w:t>
        <w:br/>
        <w:t xml:space="preserve">       </w:t>
      </w:r>
      <w:hyperlink r:id="rId4">
        <w:r>
          <w:rPr>
            <w:sz w:val="16"/>
            <w:szCs w:val="16"/>
          </w:rPr>
          <w:t>s.kerculj@staffconnecting.at</w:t>
        </w:r>
      </w:hyperlink>
      <w:r>
        <w:rPr>
          <w:sz w:val="16"/>
          <w:szCs w:val="16"/>
        </w:rPr>
        <w:t xml:space="preserve">                       </w:t>
      </w:r>
    </w:p>
    <w:p>
      <w:pPr>
        <w:pStyle w:val="Heading1"/>
        <w:spacing w:lineRule="auto" w:line="240" w:before="151" w:after="0"/>
        <w:ind w:left="129" w:hanging="0"/>
        <w:rPr>
          <w:sz w:val="16"/>
          <w:szCs w:val="16"/>
        </w:rPr>
      </w:pPr>
      <w:r>
        <w:br w:type="column"/>
      </w:r>
      <w:r>
        <w:rPr/>
        <w:t>STAFFCONNECTIING</w:t>
      </w:r>
    </w:p>
    <w:p>
      <w:pPr>
        <w:pStyle w:val="Normal1"/>
        <w:spacing w:lineRule="auto" w:line="290" w:before="44" w:after="0"/>
        <w:ind w:left="129" w:hanging="0"/>
        <w:rPr>
          <w:sz w:val="16"/>
          <w:szCs w:val="16"/>
        </w:rPr>
      </w:pPr>
      <w:r>
        <w:rPr>
          <w:sz w:val="16"/>
          <w:szCs w:val="16"/>
        </w:rPr>
        <w:t xml:space="preserve">Sebastijan Aleksandar Kerculj </w:t>
        <w:br/>
        <w:t>Simmeringer Hauptstraße 24,</w:t>
      </w:r>
    </w:p>
    <w:p>
      <w:pPr>
        <w:pStyle w:val="Normal1"/>
        <w:spacing w:lineRule="auto" w:line="194"/>
        <w:ind w:left="129" w:hanging="0"/>
        <w:rPr>
          <w:sz w:val="16"/>
          <w:szCs w:val="16"/>
        </w:rPr>
      </w:pPr>
      <w:r>
        <w:rPr>
          <w:sz w:val="16"/>
          <w:szCs w:val="16"/>
        </w:rPr>
        <w:t>1110 Wien</w:t>
      </w:r>
    </w:p>
    <w:p>
      <w:pPr>
        <w:pStyle w:val="Heading1"/>
        <w:ind w:hanging="0"/>
        <w:rPr/>
      </w:pPr>
      <w:r>
        <w:br w:type="column"/>
      </w:r>
      <w:r>
        <w:rPr/>
        <w:t xml:space="preserve">       </w:t>
      </w:r>
      <w:r>
        <w:rPr/>
        <w:t>STAFFCONNECTIING</w:t>
      </w:r>
    </w:p>
    <w:p>
      <w:pPr>
        <w:pStyle w:val="Normal1"/>
        <w:spacing w:lineRule="auto" w:line="290" w:before="45" w:after="0"/>
        <w:ind w:left="244" w:right="209" w:hanging="0"/>
        <w:rPr>
          <w:sz w:val="16"/>
          <w:szCs w:val="16"/>
        </w:rPr>
      </w:pPr>
      <w:r>
        <w:rPr>
          <w:sz w:val="16"/>
          <w:szCs w:val="16"/>
        </w:rPr>
        <w:t xml:space="preserve">Sebastijan Aleksandar Kerculj </w:t>
        <w:br/>
        <w:t>BIC: BKAUTWW</w:t>
      </w:r>
    </w:p>
    <w:p>
      <w:pPr>
        <w:pStyle w:val="Heading1"/>
        <w:spacing w:lineRule="auto" w:line="194" w:before="0" w:after="0"/>
        <w:rPr/>
      </w:pPr>
      <w:r>
        <w:rPr/>
        <w:t>IBAN:AT83 1200 0514 8816 2831</w:t>
      </w:r>
    </w:p>
    <w:p>
      <w:pPr>
        <w:pStyle w:val="Normal1"/>
        <w:spacing w:lineRule="auto" w:line="240" w:before="151" w:after="0"/>
        <w:ind w:left="0" w:hanging="0"/>
        <w:rPr>
          <w:sz w:val="16"/>
          <w:szCs w:val="16"/>
        </w:rPr>
      </w:pPr>
      <w:r>
        <w:br w:type="column"/>
      </w:r>
      <w:r>
        <w:rPr>
          <w:sz w:val="16"/>
          <w:szCs w:val="16"/>
        </w:rPr>
        <w:t>STAFFCONNECTIING</w:t>
      </w:r>
    </w:p>
    <w:p>
      <w:pPr>
        <w:pStyle w:val="Normal1"/>
        <w:spacing w:lineRule="auto" w:line="290" w:before="44" w:after="0"/>
        <w:ind w:right="1070" w:hanging="0"/>
        <w:jc w:val="both"/>
        <w:rPr>
          <w:sz w:val="16"/>
          <w:szCs w:val="16"/>
        </w:rPr>
      </w:pPr>
      <w:r>
        <w:rPr>
          <w:sz w:val="16"/>
          <w:szCs w:val="16"/>
        </w:rPr>
        <w:t>SebastijanAleksandarKerculj Web:</w:t>
      </w:r>
      <w:hyperlink r:id="rId5">
        <w:r>
          <w:rPr>
            <w:sz w:val="16"/>
            <w:szCs w:val="16"/>
          </w:rPr>
          <w:t>www.staffconnectin.</w:t>
        </w:r>
        <w:r>
          <w:rPr>
            <w:sz w:val="16"/>
            <w:szCs w:val="16"/>
          </w:rPr>
          <w:t>a</w:t>
        </w:r>
      </w:hyperlink>
      <w:r>
        <w:rPr>
          <w:sz w:val="16"/>
          <w:szCs w:val="16"/>
        </w:rPr>
        <w:t>t</w:t>
      </w:r>
      <w:r>
        <w:rPr>
          <w:sz w:val="16"/>
          <w:szCs w:val="16"/>
        </w:rPr>
        <w:t xml:space="preserve"> Tel.: +43 (0) 676 630 01 67</w:t>
      </w:r>
    </w:p>
    <w:p>
      <w:pPr>
        <w:pStyle w:val="Heading1"/>
        <w:ind w:left="1106" w:hanging="0"/>
        <w:rPr/>
      </w:pPr>
      <w:r>
        <w:rPr/>
      </w:r>
    </w:p>
    <w:p>
      <w:pPr>
        <w:pStyle w:val="Heading1"/>
        <w:ind w:left="1106" w:hanging="0"/>
        <w:rPr/>
      </w:pPr>
      <w:r>
        <w:rPr/>
      </w:r>
    </w:p>
    <w:sectPr>
      <w:type w:val="continuous"/>
      <w:pgSz w:w="11906" w:h="16850"/>
      <w:pgMar w:left="140" w:right="3" w:gutter="0" w:header="0" w:top="460" w:footer="0" w:bottom="280"/>
      <w:cols w:num="4" w:space="38" w:equalWidth="true" w:sep="false"/>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ambria">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536" w:leader="none"/>
        <w:tab w:val="right" w:pos="9072" w:leader="none"/>
      </w:tabs>
      <w:spacing w:lineRule="auto" w:line="240" w:before="0" w:after="0"/>
      <w:ind w:left="0" w:right="0" w:hanging="0"/>
      <w:jc w:val="center"/>
      <w:rPr>
        <w:rFonts w:ascii="Calibri" w:hAnsi="Calibri" w:eastAsia="Calibri" w:cs="Calibri"/>
        <w:b w:val="false"/>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Seite </w:t>
    </w:r>
    <w:r>
      <w:rPr/>
      <w:fldChar w:fldCharType="begin"/>
    </w:r>
    <w:r>
      <w:rPr/>
      <w:instrText xml:space="preserve"> PAGE </w:instrText>
    </w:r>
    <w:r>
      <w:rPr/>
      <w:fldChar w:fldCharType="separate"/>
    </w:r>
    <w:r>
      <w:rPr/>
      <w:t>3</w:t>
    </w:r>
    <w:r>
      <w:rPr/>
      <w:fldChar w:fldCharType="end"/>
    </w:r>
    <w:r>
      <w:rPr>
        <w:rFonts w:eastAsia="Calibri" w:cs="Calibri"/>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von 3</w:t>
    </w:r>
  </w:p>
  <w:p>
    <w:pPr>
      <w:pStyle w:val="Normal1"/>
      <w:keepNext w:val="false"/>
      <w:keepLines w:val="false"/>
      <w:pageBreakBefore w:val="false"/>
      <w:widowControl w:val="false"/>
      <w:pBdr/>
      <w:shd w:val="clear" w:fill="auto"/>
      <w:tabs>
        <w:tab w:val="clear" w:pos="720"/>
        <w:tab w:val="center" w:pos="4536" w:leader="none"/>
        <w:tab w:val="right" w:pos="9072" w:leader="none"/>
      </w:tabs>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AT"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2"/>
      <w:szCs w:val="22"/>
      <w:lang w:val="de-AT" w:eastAsia="zh-CN" w:bidi="hi-IN"/>
    </w:rPr>
  </w:style>
  <w:style w:type="paragraph" w:styleId="Heading1">
    <w:name w:val="Heading 1"/>
    <w:basedOn w:val="Normal1"/>
    <w:next w:val="Normal1"/>
    <w:qFormat/>
    <w:pPr>
      <w:spacing w:lineRule="auto" w:line="240" w:before="112" w:after="0"/>
      <w:ind w:left="244" w:hanging="0"/>
    </w:pPr>
    <w:rPr>
      <w:sz w:val="16"/>
      <w:szCs w:val="16"/>
    </w:rPr>
  </w:style>
  <w:style w:type="paragraph" w:styleId="Heading2">
    <w:name w:val="Heading 2"/>
    <w:basedOn w:val="Normal1"/>
    <w:next w:val="Normal1"/>
    <w:qFormat/>
    <w:pPr>
      <w:keepNext w:val="true"/>
      <w:keepLines/>
      <w:spacing w:lineRule="auto" w:line="240" w:before="40" w:after="0"/>
    </w:pPr>
    <w:rPr>
      <w:rFonts w:ascii="Cambria" w:hAnsi="Cambria" w:eastAsia="Cambria" w:cs="Cambria"/>
      <w:color w:val="366091"/>
      <w:sz w:val="26"/>
      <w:szCs w:val="2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2"/>
      <w:szCs w:val="22"/>
      <w:lang w:val="de-AT" w:eastAsia="zh-CN" w:bidi="hi-IN"/>
    </w:rPr>
  </w:style>
  <w:style w:type="paragraph" w:styleId="Title">
    <w:name w:val="Title"/>
    <w:basedOn w:val="Normal1"/>
    <w:next w:val="Normal1"/>
    <w:qFormat/>
    <w:pPr>
      <w:spacing w:lineRule="auto" w:line="336"/>
      <w:ind w:left="1050" w:hanging="0"/>
    </w:pPr>
    <w:rPr>
      <w:sz w:val="28"/>
      <w:szCs w:val="28"/>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mailto:s.kerculj@staffconnecting.at" TargetMode="External"/><Relationship Id="rId5" Type="http://schemas.openxmlformats.org/officeDocument/2006/relationships/hyperlink" Target="http://www.staffconnecting.a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3</Pages>
  <Words>1907</Words>
  <Characters>14328</Characters>
  <CharactersWithSpaces>16199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2026-05-06T12:54:48Z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2025-09-05T00:00:00Z</vt:lpwstr>
  </property>
  <property fmtid="{D5CDD505-2E9C-101B-9397-08002B2CF9AE}" pid="3" name="Creator">
    <vt:lpwstr>Canva</vt:lpwstr>
  </property>
  <property fmtid="{D5CDD505-2E9C-101B-9397-08002B2CF9AE}" pid="4" name="LastSaved">
    <vt:lpwstr>2025-09-08T00:00:00Z</vt:lpwstr>
  </property>
  <property fmtid="{D5CDD505-2E9C-101B-9397-08002B2CF9AE}" pid="5" name="Producer">
    <vt:lpwstr>Canva</vt:lpwstr>
  </property>
</Properties>
</file>