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40"/>
      </w:pPr>
      <w:r>
        <w:rPr>
          <w:rFonts w:ascii="Aptos" w:hAnsi="Aptos"/>
          <w:b/>
          <w:color w:val="16785B"/>
          <w:sz w:val="22"/>
        </w:rPr>
        <w:t>PutzELF</w:t>
      </w:r>
    </w:p>
    <w:p>
      <w:pPr>
        <w:widowControl/>
        <w:spacing w:after="80"/>
      </w:pPr>
      <w:r>
        <w:rPr>
          <w:rFonts w:ascii="Aptos" w:hAnsi="Aptos"/>
          <w:b/>
          <w:color w:val="1B2A27"/>
          <w:sz w:val="44"/>
        </w:rPr>
        <w:t>Allgemeine Geschäftsbedingungen (AGB)</w:t>
      </w:r>
    </w:p>
    <w:p>
      <w:pPr>
        <w:pStyle w:val="LegalSmall"/>
        <w:widowControl/>
        <w:spacing w:after="240"/>
      </w:pPr>
      <w:r>
        <w:t>für Reinigungs- und Hausbetreuungsleistungen von PutzELF</w:t>
      </w:r>
    </w:p>
    <w:p>
      <w:pPr>
        <w:pStyle w:val="Heading1"/>
        <w:keepNext/>
        <w:widowControl/>
        <w:jc w:val="left"/>
      </w:pPr>
      <w:r>
        <w:t>§ 1 Geltungsbereich</w:t>
      </w:r>
    </w:p>
    <w:p>
      <w:pPr>
        <w:widowControl/>
        <w:spacing w:after="80"/>
        <w:ind w:left="408" w:hanging="408"/>
      </w:pPr>
      <w:r>
        <w:rPr>
          <w:b/>
        </w:rPr>
        <w:t xml:space="preserve">1.1 </w:t>
      </w:r>
      <w:r>
        <w:t>Diese AGB gelten für Verträge über Reinigungs- und Hausbetreuungsleistungen zwischen Sebastijan-Aleksandar Kerčulj, Einzelunternehmer, Geschäftsbezeichnung „PutzELF“ („wir“), Simmeringer Hauptstraße 24, 1110 Wien, und dem jeweiligen Auftraggeber („Kunde“).</w:t>
      </w:r>
    </w:p>
    <w:p>
      <w:pPr>
        <w:widowControl/>
        <w:spacing w:after="80"/>
        <w:ind w:left="408" w:hanging="408"/>
      </w:pPr>
      <w:r>
        <w:rPr>
          <w:b/>
        </w:rPr>
        <w:t xml:space="preserve">1.2 </w:t>
      </w:r>
      <w:r>
        <w:t>Kunde kann Verbraucher im Sinne des Konsumentenschutzgesetzes (KSchG) oder Unternehmer sein. Regelungen, die ausschließlich für Verbraucher oder Unternehmer gelten, sind entsprechend gekennzeichnet. Zwingende gesetzliche Rechte, insbesondere Verbraucherrechte, bleiben unberührt.</w:t>
      </w:r>
    </w:p>
    <w:p>
      <w:pPr>
        <w:widowControl/>
        <w:spacing w:after="80"/>
        <w:ind w:left="408" w:hanging="408"/>
      </w:pPr>
      <w:r>
        <w:rPr>
          <w:b/>
        </w:rPr>
        <w:t xml:space="preserve">1.3 </w:t>
      </w:r>
      <w:r>
        <w:t>Abweichende oder ergänzende Bedingungen des Kunden gelten nur, wenn wir ihnen ausdrücklich zugestimmt haben.</w:t>
      </w:r>
    </w:p>
    <w:p>
      <w:pPr>
        <w:pStyle w:val="Heading1"/>
        <w:keepNext/>
        <w:widowControl/>
        <w:jc w:val="left"/>
      </w:pPr>
      <w:r>
        <w:t>§ 2 Terminanfrage, Angebot und Vertragsabschluss</w:t>
      </w:r>
    </w:p>
    <w:p>
      <w:pPr>
        <w:widowControl/>
        <w:spacing w:after="80"/>
        <w:ind w:left="408" w:hanging="408"/>
      </w:pPr>
      <w:r>
        <w:rPr>
          <w:b/>
        </w:rPr>
        <w:t xml:space="preserve">2.1 </w:t>
      </w:r>
      <w:r>
        <w:t>Die Darstellung unserer Leistungen auf der Website sowie Angaben oder Ergebnisse eines Preisrechners sind unverbindlich und stellen kein Angebot zum Vertragsabschluss dar.</w:t>
      </w:r>
    </w:p>
    <w:p>
      <w:pPr>
        <w:widowControl/>
        <w:spacing w:after="80"/>
        <w:ind w:left="408" w:hanging="408"/>
      </w:pPr>
      <w:r>
        <w:rPr>
          <w:b/>
        </w:rPr>
        <w:t xml:space="preserve">2.2 </w:t>
      </w:r>
      <w:r>
        <w:t>Mit dem Absenden des Online-Formulars übermittelt der Kunde eine unverbindliche Terminanfrage. Dadurch wird weder ein Termin verbindlich reserviert noch ein Vertrag geschlossen. Eine automatische Eingangsbestätigung bestätigt ausschließlich den Eingang der Anfrage.</w:t>
      </w:r>
    </w:p>
    <w:p>
      <w:pPr>
        <w:widowControl/>
        <w:spacing w:after="80"/>
        <w:ind w:left="408" w:hanging="408"/>
      </w:pPr>
      <w:r>
        <w:rPr>
          <w:b/>
        </w:rPr>
        <w:t xml:space="preserve">2.3 </w:t>
      </w:r>
      <w:r>
        <w:t>Auf Grundlage der Anfrage übersenden wir dem Kunden - erforderlichenfalls nach Rückfragen oder einer Besichtigung - ein konkretes Angebot mit Leistungsumfang, Preis, Termin und Annahmefrist. Der Vertrag kommt zustande, wenn uns die fristgerechte Annahme dieses Angebots zugeht.</w:t>
      </w:r>
    </w:p>
    <w:p>
      <w:pPr>
        <w:widowControl/>
        <w:spacing w:after="80"/>
        <w:ind w:left="408" w:hanging="408"/>
      </w:pPr>
      <w:r>
        <w:rPr>
          <w:b/>
        </w:rPr>
        <w:t xml:space="preserve">2.4 </w:t>
      </w:r>
      <w:r>
        <w:t>Erteilt der Kunde außerhalb des in Ziffer 2.3 beschriebenen Ablaufs einen verbindlichen Auftrag, kommt der Vertrag erst mit unserer ausdrücklichen Annahme oder Auftragsbestätigung zustande. Eine bloße Eingangsbestätigung ist keine Annahme.</w:t>
      </w:r>
    </w:p>
    <w:p>
      <w:pPr>
        <w:pStyle w:val="Heading1"/>
        <w:keepNext/>
        <w:widowControl/>
        <w:jc w:val="left"/>
      </w:pPr>
      <w:r>
        <w:t>§ 3 Leistungsumfang und Leistungserbringung</w:t>
      </w:r>
    </w:p>
    <w:p>
      <w:pPr>
        <w:widowControl/>
        <w:spacing w:after="80"/>
        <w:ind w:left="408" w:hanging="408"/>
      </w:pPr>
      <w:r>
        <w:rPr>
          <w:b/>
        </w:rPr>
        <w:t xml:space="preserve">3.1 </w:t>
      </w:r>
      <w:r>
        <w:t>Art, Umfang, Ausführungsort, Termin oder Turnus und Vergütung ergeben sich aus dem konkreten Angebot beziehungsweise der Auftragsbestätigung samt Leistungsbeschreibung oder Checkliste.</w:t>
      </w:r>
    </w:p>
    <w:p>
      <w:pPr>
        <w:widowControl/>
        <w:spacing w:after="80"/>
        <w:ind w:left="408" w:hanging="408"/>
      </w:pPr>
      <w:r>
        <w:rPr>
          <w:b/>
        </w:rPr>
        <w:t xml:space="preserve">3.2 </w:t>
      </w:r>
      <w:r>
        <w:t>Reinigungsmittel und Geräte stellen wir bereit, soweit nichts anderes vereinbart ist. Verlangt der Kunde den Einsatz eigener Mittel oder Geräte, hat er uns auf deren sachgerechte Verwendung und bekannte Besonderheiten hinzuweisen.</w:t>
      </w:r>
    </w:p>
    <w:p>
      <w:pPr>
        <w:widowControl/>
        <w:spacing w:after="80"/>
        <w:ind w:left="408" w:hanging="408"/>
      </w:pPr>
      <w:r>
        <w:rPr>
          <w:b/>
        </w:rPr>
        <w:t xml:space="preserve">3.3 </w:t>
      </w:r>
      <w:r>
        <w:t>Wir dürfen geeignete Mitarbeiter und sorgfältig ausgewählte Erfüllungsgehilfen, einschließlich vertraglich gebundener Subunternehmer, einsetzen. Für deren Verhalten haften wir im gesetzlichen Umfang wie für eigenes Verhalten.</w:t>
      </w:r>
    </w:p>
    <w:p>
      <w:pPr>
        <w:widowControl/>
        <w:spacing w:after="80"/>
        <w:ind w:left="408" w:hanging="408"/>
      </w:pPr>
      <w:r>
        <w:rPr>
          <w:b/>
        </w:rPr>
        <w:t xml:space="preserve">3.4 </w:t>
      </w:r>
      <w:r>
        <w:t>Kann ein vereinbarter Termin aus unvorhersehbaren Gründen nicht pünktlich eingehalten werden, informieren wir den Kunden ehestmöglich und stimmen das weitere Vorgehen ab. Gesetzliche Rechte des Kunden bleiben unberührt.</w:t>
      </w:r>
    </w:p>
    <w:p>
      <w:pPr>
        <w:pStyle w:val="Heading1"/>
        <w:keepNext/>
        <w:widowControl/>
        <w:jc w:val="left"/>
      </w:pPr>
      <w:r>
        <w:t>§ 4 Mitwirkungspflichten des Kunden</w:t>
      </w:r>
    </w:p>
    <w:p>
      <w:pPr>
        <w:widowControl/>
        <w:spacing w:after="80"/>
        <w:ind w:left="408" w:hanging="408"/>
      </w:pPr>
      <w:r>
        <w:rPr>
          <w:b/>
        </w:rPr>
        <w:t xml:space="preserve">4.1 </w:t>
      </w:r>
      <w:r>
        <w:t>Der Kunde sorgt zum vereinbarten Termin für den erforderlichen Zutritt zum Objekt und stellt Strom und Wasser in üblichem Umfang unentgeltlich bereit, soweit nichts anderes vereinbart ist.</w:t>
      </w:r>
    </w:p>
    <w:p>
      <w:pPr>
        <w:widowControl/>
        <w:spacing w:after="80"/>
        <w:ind w:left="408" w:hanging="408"/>
      </w:pPr>
      <w:r>
        <w:rPr>
          <w:b/>
        </w:rPr>
        <w:t xml:space="preserve">4.2 </w:t>
      </w:r>
      <w:r>
        <w:t>Der Kunde weist uns vor Leistungsbeginn auf empfindliche Oberflächen oder Materialien, bekannte Vorschäden, besondere Herstellervorgaben und Gefahrenquellen hin.</w:t>
      </w:r>
    </w:p>
    <w:p>
      <w:pPr>
        <w:widowControl/>
        <w:spacing w:after="80"/>
        <w:ind w:left="408" w:hanging="408"/>
      </w:pPr>
      <w:r>
        <w:rPr>
          <w:b/>
        </w:rPr>
        <w:t xml:space="preserve">4.3 </w:t>
      </w:r>
      <w:r>
        <w:t>Wertgegenstände und Bargeld sind vom Kunden sicher zu verwahren. Besondere Sicherungsanforderungen sind vor Leistungsbeginn mitzuteilen.</w:t>
      </w:r>
    </w:p>
    <w:p>
      <w:pPr>
        <w:widowControl/>
        <w:spacing w:after="80"/>
        <w:ind w:left="408" w:hanging="408"/>
      </w:pPr>
      <w:r>
        <w:rPr>
          <w:b/>
        </w:rPr>
        <w:t xml:space="preserve">4.4 </w:t>
      </w:r>
      <w:r>
        <w:t>Übernommene Schlüssel und Zutrittsmittel werden dokumentiert, sorgfältig verwahrt und nach Ende des Vertragsverhältnisses zurückgegeben.</w:t>
      </w:r>
    </w:p>
    <w:p>
      <w:pPr>
        <w:pStyle w:val="Heading1"/>
        <w:keepNext/>
        <w:widowControl/>
        <w:jc w:val="left"/>
      </w:pPr>
      <w:r>
        <w:t>§ 5 Preise, Mehrleistungen und Zahlung</w:t>
      </w:r>
    </w:p>
    <w:p>
      <w:pPr>
        <w:widowControl/>
        <w:spacing w:after="80"/>
        <w:ind w:left="408" w:hanging="408"/>
      </w:pPr>
      <w:r>
        <w:rPr>
          <w:b/>
        </w:rPr>
        <w:t xml:space="preserve">5.1 </w:t>
      </w:r>
      <w:r>
        <w:t>Maßgeblich ist der im Angebot beziehungsweise in der Auftragsbestätigung ausgewiesene Preis. Gegenüber Verbrauchern werden Gesamtpreise einschließlich Umsatzsteuer angegeben; gegenüber Unternehmern verstehen sich Preise, sofern nicht anders ausgewiesen, zuzüglich gesetzlicher Umsatzsteuer.</w:t>
      </w:r>
    </w:p>
    <w:p>
      <w:pPr>
        <w:widowControl/>
        <w:spacing w:after="80"/>
        <w:ind w:left="408" w:hanging="408"/>
      </w:pPr>
      <w:r>
        <w:rPr>
          <w:b/>
        </w:rPr>
        <w:t xml:space="preserve">5.2 </w:t>
      </w:r>
      <w:r>
        <w:t>Ist kein Pauschalpreis vereinbart, wird nach dem tatsächlichen Zeitaufwand zum vereinbarten Stundensatz abgerechnet. Der Mindesteinsatz beträgt zwei Stunden je Termin, sofern im Angebot nichts Abweichendes festgelegt ist.</w:t>
      </w:r>
    </w:p>
    <w:p>
      <w:pPr>
        <w:widowControl/>
        <w:spacing w:after="80"/>
        <w:ind w:left="408" w:hanging="408"/>
      </w:pPr>
      <w:r>
        <w:rPr>
          <w:b/>
        </w:rPr>
        <w:t xml:space="preserve">5.3 </w:t>
      </w:r>
      <w:r>
        <w:t>Erkennbar erforderliche Mehrleistungen, durch die der im Angebot genannte Preis- oder Zeitrahmen um mehr als 15 % überschritten würde, führen wir nur nach vorheriger Information und Zustimmung des Kunden aus. Gesetzliche Regelungen über Kostenvoranschläge bleiben unberührt.</w:t>
      </w:r>
    </w:p>
    <w:p>
      <w:pPr>
        <w:widowControl/>
        <w:spacing w:after="80"/>
        <w:ind w:left="408" w:hanging="408"/>
      </w:pPr>
      <w:r>
        <w:rPr>
          <w:b/>
        </w:rPr>
        <w:t xml:space="preserve">5.4 </w:t>
      </w:r>
      <w:r>
        <w:t>An- und Abfahrt innerhalb von Wien oder Graz sind im vereinbarten Preis enthalten. Außerhalb dieser Gebiete können Fahrtkosten von 2,00 Euro je tatsächlich gefahrenem Kilometer für Hin- und Rückfahrt berechnet werden, wenn dies im Angebot ausgewiesen ist.</w:t>
      </w:r>
    </w:p>
    <w:p>
      <w:pPr>
        <w:widowControl/>
        <w:spacing w:after="80"/>
        <w:ind w:left="408" w:hanging="408"/>
      </w:pPr>
      <w:r>
        <w:rPr>
          <w:b/>
        </w:rPr>
        <w:t xml:space="preserve">5.5 </w:t>
      </w:r>
      <w:r>
        <w:t>Rechnungen sind innerhalb von 14 Kalendertagen ab Rechnungsdatum ohne Abzug fällig, sofern auf der Rechnung keine andere Frist angegeben ist.</w:t>
      </w:r>
    </w:p>
    <w:p>
      <w:pPr>
        <w:widowControl/>
        <w:spacing w:after="80"/>
        <w:ind w:left="408" w:hanging="408"/>
      </w:pPr>
      <w:r>
        <w:rPr>
          <w:b/>
        </w:rPr>
        <w:t xml:space="preserve">5.6 </w:t>
      </w:r>
      <w:r>
        <w:t>Bei Zahlungsverzug eines Verbrauchers gelten die gesetzlichen Verzugszinsen von 4 % pro Jahr. Bei Zahlungsverzug eines Unternehmers gelten 9,2 Prozentpunkte über dem Basiszinssatz, sofern der Unternehmer die Verzögerung zu vertreten hat; andernfalls beträgt der gesetzliche Zinssatz 4 % pro Jahr. Notwendige und zweckentsprechende Betreibungskosten sind im gesetzlichen Umfang zu ersetzen.</w:t>
      </w:r>
    </w:p>
    <w:p>
      <w:pPr>
        <w:widowControl/>
        <w:spacing w:after="80"/>
        <w:ind w:left="408" w:hanging="408"/>
      </w:pPr>
      <w:r>
        <w:rPr>
          <w:b/>
        </w:rPr>
        <w:t xml:space="preserve">5.7 </w:t>
      </w:r>
      <w:r>
        <w:t>Bei Verträgen über regelmäßig wiederkehrende Leistungen kann der Preis höchstens einmal je Vertragsjahr entsprechend der Veränderung des von Statistik Austria veröffentlichten Verbraucherpreisindex 2020 oder eines an seine Stelle tretenden Index angepasst werden. Ausgangsbasis ist die für den Monat des Vertragsabschlusses veröffentlichte Indexzahl; maßgeblich ist die Veränderung bis zum letzten vor der Anpassung veröffentlichten Monat. Eine Senkung wird im selben Verhältnis weitergegeben. Wir kündigen die Anpassung mindestens sechs Wochen vor ihrem Wirksamwerden in Textform an. Eine Erhöhung wird frühestens für Leistungen wirksam, die mehr als zwei Monate nach Vertragsabschluss erbracht werden. Bei einer Erhöhung von mehr als 5 % kann der Kunde zum Zeitpunkt des Wirksamwerdens kündigen.</w:t>
      </w:r>
    </w:p>
    <w:p>
      <w:pPr>
        <w:pStyle w:val="Heading1"/>
        <w:keepNext/>
        <w:widowControl/>
        <w:jc w:val="left"/>
      </w:pPr>
      <w:r>
        <w:t>§ 6 Terminänderung, Stornierung und Verhinderung</w:t>
      </w:r>
    </w:p>
    <w:p>
      <w:pPr>
        <w:widowControl/>
        <w:spacing w:after="80"/>
        <w:ind w:left="408" w:hanging="408"/>
      </w:pPr>
      <w:r>
        <w:rPr>
          <w:b/>
        </w:rPr>
        <w:t xml:space="preserve">6.1 </w:t>
      </w:r>
      <w:r>
        <w:t>Terminverschiebungen und Stornierungen sind bis 48 Stunden vor dem vereinbarten Termin kostenfrei möglich. Die Mitteilung kann telefonisch oder per E-Mail erfolgen.</w:t>
      </w:r>
    </w:p>
    <w:p>
      <w:pPr>
        <w:widowControl/>
        <w:spacing w:after="80"/>
        <w:ind w:left="408" w:hanging="408"/>
      </w:pPr>
      <w:r>
        <w:rPr>
          <w:b/>
        </w:rPr>
        <w:t xml:space="preserve">6.2 </w:t>
      </w:r>
      <w:r>
        <w:t>Sagt der Kunde später ab oder kann die Leistung aus einem Umstand auf seiner Seite nicht erbracht werden, insbesondere weil der vereinbarte Zutritt fehlt, gelten die gesetzlichen Regelungen des § 1168 ABGB. Danach gebührt uns das vereinbarte Entgelt abzüglich dessen, was wir infolge des Unterbleibens der Arbeit erspart, durch anderweitige Verwendung erworben oder zu erwerben absichtlich versäumt haben.</w:t>
      </w:r>
    </w:p>
    <w:p>
      <w:pPr>
        <w:widowControl/>
        <w:spacing w:after="80"/>
        <w:ind w:left="408" w:hanging="408"/>
      </w:pPr>
      <w:r>
        <w:rPr>
          <w:b/>
        </w:rPr>
        <w:t xml:space="preserve">6.3 </w:t>
      </w:r>
      <w:r>
        <w:t>Verlangen wir in einem solchen Fall von einem Verbraucher Zahlung, teilen wir ihm die für den Anspruch maßgeblichen Umstände sowie die Gründe dafür mit, in welchem Umfang keine Ersparnis, kein anderweitiger Erwerb und kein absichtlich versäumter Erwerb anzurechnen ist. Auf Wunsch erläutern wir die Berechnung zusätzlich.</w:t>
      </w:r>
    </w:p>
    <w:p>
      <w:pPr>
        <w:widowControl/>
        <w:spacing w:after="80"/>
        <w:ind w:left="408" w:hanging="408"/>
      </w:pPr>
      <w:r>
        <w:rPr>
          <w:b/>
        </w:rPr>
        <w:t xml:space="preserve">6.4 </w:t>
      </w:r>
      <w:r>
        <w:t>Ein gesetzliches Rücktrittsrecht von Verbrauchern, insbesondere nach dem Fern- und Auswärtsgeschäfte-Gesetz (FAGG), bleibt unberührt.</w:t>
      </w:r>
    </w:p>
    <w:p>
      <w:pPr>
        <w:pStyle w:val="Heading1"/>
        <w:keepNext/>
        <w:widowControl/>
        <w:jc w:val="left"/>
      </w:pPr>
      <w:r>
        <w:t>§ 7 Rücktrittsrecht für Verbraucher</w:t>
      </w:r>
    </w:p>
    <w:p>
      <w:pPr>
        <w:widowControl/>
        <w:spacing w:after="80"/>
        <w:ind w:left="408" w:hanging="408"/>
      </w:pPr>
      <w:r>
        <w:rPr>
          <w:b/>
        </w:rPr>
        <w:t xml:space="preserve">7.1 </w:t>
      </w:r>
      <w:r>
        <w:t>Verbraucher können von einem im Fernabsatz oder außerhalb unserer Geschäftsräume geschlossenen Vertrag innerhalb von 14 Tagen ab Vertragsabschluss ohne Angabe von Gründen zurücktreten. Einzelheiten ergeben sich aus der Rücktrittsbelehrung samt Muster-Rücktrittsformular, die vor Vertragsabschluss bereitgestellt und dem Verbraucher auf einem dauerhaften Datenträger übermittelt wird.</w:t>
      </w:r>
    </w:p>
    <w:p>
      <w:pPr>
        <w:widowControl/>
        <w:spacing w:after="80"/>
        <w:ind w:left="408" w:hanging="408"/>
      </w:pPr>
      <w:r>
        <w:rPr>
          <w:b/>
        </w:rPr>
        <w:t xml:space="preserve">7.2 </w:t>
      </w:r>
      <w:r>
        <w:t>Verlangt ein Verbraucher ausdrücklich, dass wir bereits während der Rücktrittsfrist mit der Dienstleistung beginnen, hat er bei einem späteren Rücktritt einen angemessenen Betrag für die bis zum Rücktritt erbrachten Leistungen zu zahlen.</w:t>
      </w:r>
    </w:p>
    <w:p>
      <w:pPr>
        <w:widowControl/>
        <w:spacing w:after="80"/>
        <w:ind w:left="408" w:hanging="408"/>
      </w:pPr>
      <w:r>
        <w:rPr>
          <w:b/>
        </w:rPr>
        <w:t xml:space="preserve">7.3 </w:t>
      </w:r>
      <w:r>
        <w:t>Das Rücktrittsrecht erlischt bei vollständiger Erbringung der Dienstleistung nur unter den gesetzlichen Voraussetzungen, insbesondere wenn der Verbraucher den vorzeitigen Beginn ausdrücklich verlangt und vor Beginn bestätigt hat, dass er sein Rücktrittsrecht bei vollständiger Vertragserfüllung verliert.</w:t>
      </w:r>
    </w:p>
    <w:p>
      <w:pPr>
        <w:pStyle w:val="Heading1"/>
        <w:keepNext/>
        <w:widowControl/>
        <w:jc w:val="left"/>
      </w:pPr>
      <w:r>
        <w:t>§ 8 Gewährleistung und Beanstandungen</w:t>
      </w:r>
    </w:p>
    <w:p>
      <w:pPr>
        <w:widowControl/>
        <w:spacing w:after="80"/>
        <w:ind w:left="408" w:hanging="408"/>
      </w:pPr>
      <w:r>
        <w:rPr>
          <w:b/>
        </w:rPr>
        <w:t xml:space="preserve">8.1 </w:t>
      </w:r>
      <w:r>
        <w:t>Es gelten die gesetzlichen Gewährleistungsbestimmungen. Ist eine Verbesserung möglich und zumutbar, erfolgt sie grundsätzlich durch kostenlose Nachreinigung der betroffenen Bereiche innerhalb angemessener Frist.</w:t>
      </w:r>
    </w:p>
    <w:p>
      <w:pPr>
        <w:widowControl/>
        <w:spacing w:after="80"/>
        <w:ind w:left="408" w:hanging="408"/>
      </w:pPr>
      <w:r>
        <w:rPr>
          <w:b/>
        </w:rPr>
        <w:t xml:space="preserve">8.2 </w:t>
      </w:r>
      <w:r>
        <w:t>Wir bitten Verbraucher, erkennbare Mängel möglichst innerhalb von fünf Werktagen mitzuteilen, nach Möglichkeit mit Fotos. Diese Bitte ist keine Voraussetzung für gesetzliche Ansprüche und verkürzt keine gesetzlichen Fristen.</w:t>
      </w:r>
    </w:p>
    <w:p>
      <w:pPr>
        <w:widowControl/>
        <w:spacing w:after="80"/>
        <w:ind w:left="408" w:hanging="408"/>
      </w:pPr>
      <w:r>
        <w:rPr>
          <w:b/>
        </w:rPr>
        <w:t xml:space="preserve">8.3 </w:t>
      </w:r>
      <w:r>
        <w:t>Unternehmer haben erkennbare Mängel innerhalb von fünf Werktagen nach der Leistung in Textform anzuzeigen. Die Rechtsfolgen einer verspäteten Anzeige gelten nur im gesetzlich zulässigen Umfang.</w:t>
      </w:r>
    </w:p>
    <w:p>
      <w:pPr>
        <w:pStyle w:val="Heading1"/>
        <w:keepNext/>
        <w:widowControl/>
        <w:jc w:val="left"/>
      </w:pPr>
      <w:r>
        <w:t>§ 9 Haftung</w:t>
      </w:r>
    </w:p>
    <w:p>
      <w:pPr>
        <w:widowControl/>
        <w:spacing w:after="80"/>
        <w:ind w:left="408" w:hanging="408"/>
      </w:pPr>
      <w:r>
        <w:rPr>
          <w:b/>
        </w:rPr>
        <w:t xml:space="preserve">9.1 </w:t>
      </w:r>
      <w:r>
        <w:t>Gegenüber Verbrauchern haften wir nach den gesetzlichen Bestimmungen. Haftungsbeschränkungen gelten nicht für Personenschäden und nicht für Schäden, die vorsätzlich oder grob fahrlässig verursacht wurden.</w:t>
      </w:r>
    </w:p>
    <w:p>
      <w:pPr>
        <w:widowControl/>
        <w:spacing w:after="80"/>
        <w:ind w:left="408" w:hanging="408"/>
      </w:pPr>
      <w:r>
        <w:rPr>
          <w:b/>
        </w:rPr>
        <w:t xml:space="preserve">9.2 </w:t>
      </w:r>
      <w:r>
        <w:t>Gegenüber Unternehmern ist die Haftung für leicht fahrlässig verursachte Sach- und Vermögensschäden ausgeschlossen, soweit dem keine zwingenden gesetzlichen Bestimmungen entgegenstehen. Ausgenommen sind Personenschäden sowie vorsätzlich oder grob fahrlässig verursachte Schäden.</w:t>
      </w:r>
    </w:p>
    <w:p>
      <w:pPr>
        <w:widowControl/>
        <w:spacing w:after="80"/>
        <w:ind w:left="408" w:hanging="408"/>
      </w:pPr>
      <w:r>
        <w:rPr>
          <w:b/>
        </w:rPr>
        <w:t xml:space="preserve">9.3 </w:t>
      </w:r>
      <w:r>
        <w:t>Wir haften nicht für Schäden, die ausschließlich auf verschwiegenen Vorschäden, ungeeigneten oder schadhaften Oberflächen, nicht mitgeteilten Materialbesonderheiten oder ausdrücklichen Weisungen des Kunden beruhen, sofern diese Umstände für uns auch bei fachgerechter Prüfung nicht erkennbar waren.</w:t>
      </w:r>
    </w:p>
    <w:p>
      <w:pPr>
        <w:widowControl/>
        <w:spacing w:after="80"/>
        <w:ind w:left="408" w:hanging="408"/>
      </w:pPr>
      <w:r>
        <w:rPr>
          <w:b/>
        </w:rPr>
        <w:t xml:space="preserve">9.4 </w:t>
      </w:r>
      <w:r>
        <w:t>Für übernommene Schlüssel und Zutrittsmittel haften wir nach den gesetzlichen Bestimmungen. Die dokumentierte Übergabe dient der Beweissicherung.</w:t>
      </w:r>
    </w:p>
    <w:p>
      <w:pPr>
        <w:pStyle w:val="Heading1"/>
        <w:keepNext/>
        <w:widowControl/>
        <w:jc w:val="left"/>
      </w:pPr>
      <w:r>
        <w:t>§ 10 Laufzeit und Kündigung wiederkehrender Leistungen</w:t>
      </w:r>
    </w:p>
    <w:p>
      <w:pPr>
        <w:widowControl/>
        <w:spacing w:after="80"/>
        <w:ind w:left="408" w:hanging="408"/>
      </w:pPr>
      <w:r>
        <w:rPr>
          <w:b/>
        </w:rPr>
        <w:t xml:space="preserve">10.1 </w:t>
      </w:r>
      <w:r>
        <w:t>Verträge über regelmäßig wiederkehrende Leistungen werden auf unbestimmte Zeit geschlossen, sofern nichts anderes vereinbart ist. Beide Seiten können mit einer Frist von vier Wochen zum Monatsletzten kündigen.</w:t>
      </w:r>
    </w:p>
    <w:p>
      <w:pPr>
        <w:widowControl/>
        <w:spacing w:after="80"/>
        <w:ind w:left="408" w:hanging="408"/>
      </w:pPr>
      <w:r>
        <w:rPr>
          <w:b/>
        </w:rPr>
        <w:t xml:space="preserve">10.2 </w:t>
      </w:r>
      <w:r>
        <w:t>Das Recht zur außerordentlichen Kündigung aus wichtigem Grund bleibt unberührt.</w:t>
      </w:r>
    </w:p>
    <w:p>
      <w:pPr>
        <w:widowControl/>
        <w:spacing w:after="80"/>
        <w:ind w:left="408" w:hanging="408"/>
      </w:pPr>
      <w:r>
        <w:rPr>
          <w:b/>
        </w:rPr>
        <w:t xml:space="preserve">10.3 </w:t>
      </w:r>
      <w:r>
        <w:t>Bei laufenden Verträgen kann der Kunde bis zu zwei einzelne Termine je Kalenderjahr kostenfrei aussetzen, wenn er uns mindestens eine Woche vorher informiert. Abweichende Vereinbarungen im Angebot gehen vor.</w:t>
      </w:r>
    </w:p>
    <w:p>
      <w:pPr>
        <w:pStyle w:val="Heading1"/>
        <w:keepNext/>
        <w:widowControl/>
        <w:jc w:val="left"/>
      </w:pPr>
      <w:r>
        <w:t>§ 11 Datenschutz</w:t>
      </w:r>
    </w:p>
    <w:p>
      <w:pPr>
        <w:widowControl/>
        <w:spacing w:after="80"/>
        <w:ind w:left="408" w:hanging="408"/>
      </w:pPr>
      <w:r>
        <w:rPr>
          <w:b/>
        </w:rPr>
        <w:t xml:space="preserve">11.1 </w:t>
      </w:r>
      <w:r>
        <w:t>Informationen über die Verarbeitung personenbezogener Daten enthält die jeweils aktuelle Datenschutzerklärung auf unserer Website.</w:t>
      </w:r>
    </w:p>
    <w:p>
      <w:pPr>
        <w:pStyle w:val="Heading1"/>
        <w:keepNext/>
        <w:widowControl/>
        <w:jc w:val="left"/>
      </w:pPr>
      <w:r>
        <w:t>§ 12 Anwendbares Recht und Gerichtsstand</w:t>
      </w:r>
    </w:p>
    <w:p>
      <w:pPr>
        <w:widowControl/>
        <w:spacing w:after="80"/>
        <w:ind w:left="408" w:hanging="408"/>
      </w:pPr>
      <w:r>
        <w:rPr>
          <w:b/>
        </w:rPr>
        <w:t xml:space="preserve">12.1 </w:t>
      </w:r>
      <w:r>
        <w:t>Es gilt österreichisches Recht. Bei Verbrauchern mit gewöhnlichem Aufenthalt in einem anderen Staat bleiben zwingende Schutzbestimmungen dieses Staates unberührt.</w:t>
      </w:r>
    </w:p>
    <w:p>
      <w:pPr>
        <w:widowControl/>
        <w:spacing w:after="80"/>
        <w:ind w:left="408" w:hanging="408"/>
      </w:pPr>
      <w:r>
        <w:rPr>
          <w:b/>
        </w:rPr>
        <w:t xml:space="preserve">12.2 </w:t>
      </w:r>
      <w:r>
        <w:t>Für Rechtsstreitigkeiten mit Unternehmern wird die ausschließliche Zuständigkeit des sachlich zuständigen Gerichts in Wien vereinbart. Für Verbraucher gelten die gesetzlichen Gerichtsstände, insbesondere § 14 KSchG.</w:t>
      </w:r>
    </w:p>
    <w:p>
      <w:pPr>
        <w:pStyle w:val="Heading1"/>
        <w:keepNext/>
        <w:widowControl/>
        <w:jc w:val="left"/>
      </w:pPr>
      <w:r>
        <w:t>§ 13 Schlussbestimmungen</w:t>
      </w:r>
    </w:p>
    <w:p>
      <w:pPr>
        <w:widowControl/>
        <w:spacing w:after="80"/>
        <w:ind w:left="408" w:hanging="408"/>
      </w:pPr>
      <w:r>
        <w:rPr>
          <w:b/>
        </w:rPr>
        <w:t xml:space="preserve">13.1 </w:t>
      </w:r>
      <w:r>
        <w:t>Individuelle Vereinbarungen haben Vorrang vor diesen AGB.</w:t>
      </w:r>
    </w:p>
    <w:p>
      <w:pPr>
        <w:widowControl/>
        <w:spacing w:after="80"/>
        <w:ind w:left="408" w:hanging="408"/>
      </w:pPr>
      <w:r>
        <w:rPr>
          <w:b/>
        </w:rPr>
        <w:t xml:space="preserve">13.2 </w:t>
      </w:r>
      <w:r>
        <w:t>Sollte eine Bestimmung dieser AGB unwirksam sein oder werden, bleibt die Wirksamkeit der übrigen Bestimmungen unberührt. Gegenüber Verbrauchern tritt an die Stelle der unwirksamen Bestimmung ausschließlich die gesetzliche Regelung.</w:t>
      </w:r>
    </w:p>
    <w:p>
      <w:pPr>
        <w:widowControl/>
        <w:spacing w:after="80"/>
        <w:ind w:left="408" w:hanging="408"/>
      </w:pPr>
      <w:r>
        <w:rPr>
          <w:b/>
        </w:rPr>
        <w:t xml:space="preserve">13.3 </w:t>
      </w:r>
      <w:r>
        <w:t>Änderungen und Ergänzungen sollen zu Beweiszwecken in Textform festgehalten werden. Die Wirksamkeit formloser Erklärungen gegenüber Verbrauchern bleibt unberührt.</w:t>
      </w:r>
    </w:p>
    <w:p>
      <w:pPr>
        <w:widowControl/>
        <w:spacing w:before="200"/>
      </w:pPr>
      <w:r>
        <w:rPr>
          <w:b/>
          <w:color w:val="16785B"/>
        </w:rPr>
        <w:t>Stand: 02.09.2026</w:t>
      </w:r>
    </w:p>
    <w:sectPr>
      <w:headerReference w:type="default" r:id="rId9"/>
      <w:footerReference w:type="default" r:id="rId10"/>
      <w:pgSz w:w="11906" w:h="16838"/>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LegalSmall"/>
      <w:jc w:val="right"/>
    </w:pPr>
    <w:r>
      <w:rPr>
        <w:color w:val="66736F"/>
        <w:sz w:val="16"/>
      </w:rPr>
      <w:t xml:space="preserve">PutzELF  |  Stand 02.09.2026  |  </w:t>
    </w:r>
    <w:r>
      <w:rPr>
        <w:color w:val="66736F"/>
        <w:sz w:val="16"/>
      </w:rPr>
      <w:t xml:space="preserve">Seite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6785B"/>
        <w:sz w:val="16"/>
      </w:rPr>
      <w:t>PUTZELF  |  RECHTSTEXT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B2A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jc w:val="left"/>
      <w:outlineLvl w:val="0"/>
    </w:pPr>
    <w:rPr>
      <w:rFonts w:asciiTheme="majorHAnsi" w:eastAsiaTheme="majorEastAsia" w:hAnsiTheme="majorHAnsi" w:cstheme="majorBidi" w:ascii="Aptos" w:hAnsi="Aptos"/>
      <w:b/>
      <w:bCs/>
      <w:color w:val="16785B"/>
      <w:sz w:val="27"/>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Aptos" w:hAnsi="Aptos"/>
      <w:b/>
      <w:bCs/>
      <w:color w:val="16785B"/>
      <w:sz w:val="24"/>
      <w:szCs w:val="26"/>
    </w:rPr>
  </w:style>
  <w:style w:type="paragraph" w:styleId="Heading3">
    <w:name w:val="heading 3"/>
    <w:basedOn w:val="Normal"/>
    <w:next w:val="Normal"/>
    <w:link w:val="Heading3Char"/>
    <w:uiPriority w:val="9"/>
    <w:unhideWhenUsed/>
    <w:qFormat/>
    <w:rsid w:val="00FC693F"/>
    <w:pPr>
      <w:keepNext/>
      <w:keepLines/>
      <w:spacing w:before="160" w:after="60"/>
      <w:jc w:val="left"/>
      <w:outlineLvl w:val="2"/>
    </w:pPr>
    <w:rPr>
      <w:rFonts w:asciiTheme="majorHAnsi" w:eastAsiaTheme="majorEastAsia" w:hAnsiTheme="majorHAnsi" w:cstheme="majorBidi" w:ascii="Aptos" w:hAnsi="Aptos"/>
      <w:b/>
      <w:bCs/>
      <w:color w:val="1678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mall">
    <w:name w:val="Legal Small"/>
    <w:pPr>
      <w:spacing w:after="80"/>
    </w:pPr>
    <w:rPr>
      <w:rFonts w:ascii="Aptos" w:hAnsi="Aptos"/>
      <w:color w:val="66736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Allgemeine Geschäftsbedingungen (AGB)</dc:title>
  <dc:subject>Rechtstext zur Veröffentlichung auf putzelf.com</dc:subject>
  <dc:creator/>
  <cp:keywords>PutzELF, Rechtstext, Veröffentlichung</cp:keywords>
  <dc:description/>
  <cp:lastModifiedBy/>
  <cp:revision>1</cp:revision>
  <dcterms:created xsi:type="dcterms:W3CDTF">2013-12-23T23:15:00Z</dcterms:created>
  <dcterms:modified xsi:type="dcterms:W3CDTF">2013-12-23T23:15:00Z</dcterms:modified>
  <cp:category/>
</cp:coreProperties>
</file>