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pPr>
      <w:r>
        <w:rPr>
          <w:rFonts w:ascii="Aptos" w:hAnsi="Aptos"/>
          <w:b/>
          <w:color w:val="16785B"/>
          <w:sz w:val="22"/>
        </w:rPr>
        <w:t>PutzELF</w:t>
      </w:r>
    </w:p>
    <w:p>
      <w:pPr>
        <w:widowControl/>
        <w:spacing w:after="80"/>
      </w:pPr>
      <w:r>
        <w:rPr>
          <w:rFonts w:ascii="Aptos" w:hAnsi="Aptos"/>
          <w:b/>
          <w:color w:val="1B2A27"/>
          <w:sz w:val="44"/>
        </w:rPr>
        <w:t>Impressum</w:t>
      </w:r>
    </w:p>
    <w:p>
      <w:pPr>
        <w:pStyle w:val="LegalSmall"/>
        <w:widowControl/>
        <w:spacing w:after="240"/>
      </w:pPr>
      <w:r>
        <w:t>Informationen gemäß § 5 ECG, § 63 GewO 1994 und Offenlegung gemäß § 25 Mediengesetz</w:t>
      </w:r>
    </w:p>
    <w:p>
      <w:pPr>
        <w:pStyle w:val="Heading1"/>
        <w:keepNext/>
        <w:widowControl/>
        <w:jc w:val="left"/>
      </w:pPr>
      <w:r>
        <w:t>Medieninhaber und Diensteanbieter</w:t>
      </w:r>
    </w:p>
    <w:p>
      <w:pPr>
        <w:widowControl/>
        <w:spacing w:after="80"/>
      </w:pPr>
      <w:r>
        <w:rPr>
          <w:b/>
        </w:rPr>
        <w:t xml:space="preserve">Name: </w:t>
      </w:r>
      <w:r>
        <w:t>Sebastijan-Aleksandar Kerčulj, Einzelunternehmer</w:t>
      </w:r>
    </w:p>
    <w:p>
      <w:pPr>
        <w:widowControl/>
        <w:spacing w:after="80"/>
      </w:pPr>
      <w:r>
        <w:rPr>
          <w:b/>
        </w:rPr>
        <w:t xml:space="preserve">Geschäftsbezeichnung: </w:t>
      </w:r>
      <w:r>
        <w:t>PutzELF</w:t>
      </w:r>
    </w:p>
    <w:p>
      <w:pPr>
        <w:widowControl/>
        <w:spacing w:after="80"/>
      </w:pPr>
      <w:r>
        <w:rPr>
          <w:b/>
        </w:rPr>
        <w:t xml:space="preserve">Unternehmensgegenstand: </w:t>
      </w:r>
      <w:r>
        <w:t>Denkmal-, Fassaden- und Gebäudereinigung sowie Hausbetreuung</w:t>
      </w:r>
    </w:p>
    <w:p>
      <w:pPr>
        <w:widowControl/>
        <w:spacing w:after="80"/>
      </w:pPr>
      <w:r>
        <w:rPr>
          <w:b/>
        </w:rPr>
        <w:t xml:space="preserve">Sitz und Anschrift: </w:t>
      </w:r>
      <w:r>
        <w:t>Simmeringer Hauptstraße 24, 1110 Wien, Österreich</w:t>
      </w:r>
    </w:p>
    <w:p>
      <w:pPr>
        <w:widowControl/>
        <w:spacing w:after="80"/>
      </w:pPr>
      <w:r>
        <w:rPr>
          <w:b/>
        </w:rPr>
        <w:t xml:space="preserve">Einsatzgebiet: </w:t>
      </w:r>
      <w:r>
        <w:t>Wien und Graz samt Umgebung; in Graz besteht keine Niederlassung</w:t>
      </w:r>
    </w:p>
    <w:p>
      <w:pPr>
        <w:pStyle w:val="Heading1"/>
        <w:keepNext/>
        <w:widowControl/>
        <w:jc w:val="left"/>
      </w:pPr>
      <w:r>
        <w:t>Kontakt</w:t>
      </w:r>
    </w:p>
    <w:p>
      <w:pPr>
        <w:widowControl/>
        <w:spacing w:after="80"/>
      </w:pPr>
      <w:r>
        <w:rPr>
          <w:b/>
        </w:rPr>
        <w:t xml:space="preserve">Telefon: </w:t>
      </w:r>
      <w:r>
        <w:t>+43 676 630 01 67</w:t>
      </w:r>
    </w:p>
    <w:p>
      <w:pPr>
        <w:widowControl/>
        <w:spacing w:after="80"/>
      </w:pPr>
      <w:r>
        <w:rPr>
          <w:b/>
        </w:rPr>
        <w:t xml:space="preserve">E-Mail: </w:t>
      </w:r>
      <w:r>
        <w:t>office@putzelf.com</w:t>
      </w:r>
    </w:p>
    <w:p>
      <w:pPr>
        <w:widowControl/>
        <w:spacing w:after="80"/>
      </w:pPr>
      <w:r>
        <w:rPr>
          <w:b/>
        </w:rPr>
        <w:t xml:space="preserve">E-Mail für Graz und die Steiermark: </w:t>
      </w:r>
      <w:r>
        <w:t>office.stmk@putzelf.com</w:t>
      </w:r>
    </w:p>
    <w:p>
      <w:pPr>
        <w:pStyle w:val="Heading1"/>
        <w:keepNext/>
        <w:widowControl/>
        <w:jc w:val="left"/>
      </w:pPr>
      <w:r>
        <w:t>Unternehmensdaten</w:t>
      </w:r>
    </w:p>
    <w:p>
      <w:pPr>
        <w:widowControl/>
        <w:spacing w:after="80"/>
      </w:pPr>
      <w:r>
        <w:rPr>
          <w:b/>
        </w:rPr>
        <w:t xml:space="preserve">UID-Nummer: </w:t>
      </w:r>
      <w:r>
        <w:t>ATU78448967</w:t>
      </w:r>
    </w:p>
    <w:p>
      <w:pPr>
        <w:widowControl/>
        <w:spacing w:after="80"/>
      </w:pPr>
      <w:r>
        <w:rPr>
          <w:b/>
        </w:rPr>
        <w:t xml:space="preserve">GISA-Zahl: </w:t>
      </w:r>
      <w:r>
        <w:t>38010538</w:t>
      </w:r>
    </w:p>
    <w:p>
      <w:pPr>
        <w:widowControl/>
        <w:spacing w:after="80"/>
      </w:pPr>
      <w:r>
        <w:rPr>
          <w:b/>
        </w:rPr>
        <w:t xml:space="preserve">Gewerbebehörde: </w:t>
      </w:r>
      <w:r>
        <w:t>Magistratisches Bezirksamt für den 3. und 11. Bezirk</w:t>
      </w:r>
    </w:p>
    <w:p>
      <w:pPr>
        <w:widowControl/>
        <w:spacing w:after="80"/>
      </w:pPr>
      <w:r>
        <w:rPr>
          <w:b/>
        </w:rPr>
        <w:t xml:space="preserve">Mitgliedschaft: </w:t>
      </w:r>
      <w:r>
        <w:t>Wirtschaftskammer Wien</w:t>
      </w:r>
    </w:p>
    <w:p>
      <w:pPr>
        <w:widowControl/>
        <w:spacing w:after="80"/>
      </w:pPr>
      <w:r>
        <w:rPr>
          <w:b/>
        </w:rPr>
        <w:t xml:space="preserve">Fachorganisationen: </w:t>
      </w:r>
      <w:r>
        <w:t>Landesinnung Wien der Denkmal-, Fassaden- und Gebäudereiniger; Fachgruppe Wien der gewerblichen Dienstleister; Fachgruppe Wien der persönlichen Dienstleister; Fachgruppe Werbung und Marktkommunikation Wien</w:t>
      </w:r>
    </w:p>
    <w:p>
      <w:pPr>
        <w:widowControl/>
      </w:pPr>
      <w:r>
        <w:rPr>
          <w:b/>
        </w:rPr>
        <w:t xml:space="preserve">Anwendbare Rechtsvorschriften: </w:t>
      </w:r>
      <w:r>
        <w:t xml:space="preserve">Gewerbeordnung 1994 (GewO), abrufbar im </w:t>
      </w:r>
      <w:hyperlink r:id="rId11">
        <w:r>
          <w:rPr>
            <w:color w:val="16785B"/>
            <w:u w:val="single"/>
            <w:rFonts w:ascii="Aptos" w:hAnsi="Aptos"/>
          </w:rPr>
          <w:t>Rechtsinformationssystem des Bundes</w:t>
        </w:r>
      </w:hyperlink>
      <w:r>
        <w:t>.</w:t>
      </w:r>
    </w:p>
    <w:p>
      <w:pPr>
        <w:pStyle w:val="Heading1"/>
        <w:keepNext/>
        <w:widowControl/>
        <w:jc w:val="left"/>
      </w:pPr>
      <w:r>
        <w:t>Verbraucherstreitbeilegung</w:t>
      </w:r>
    </w:p>
    <w:p>
      <w:pPr>
        <w:widowControl/>
      </w:pPr>
      <w:r>
        <w:t>Wir sind weder verpflichtet noch bereit, an einem Streitbeilegungsverfahren vor einer Verbraucherschlichtungsstelle teilzunehmen. Kommt es zu einer Streitigkeit mit einem Verbraucher, die wir nicht unmittelbar beilegen können, informieren wir den Verbraucher nach Maßgabe des Alternative-Streitbeilegung-Gesetzes auf einem dauerhaften Datenträger über die zuständige Stelle und darüber, ob wir an einem Verfahren teilnehmen.</w:t>
      </w:r>
    </w:p>
    <w:p>
      <w:pPr>
        <w:widowControl/>
      </w:pPr>
      <w:r>
        <w:t xml:space="preserve">Allgemeine Informationen: </w:t>
      </w:r>
      <w:hyperlink r:id="rId12">
        <w:r>
          <w:rPr>
            <w:color w:val="16785B"/>
            <w:u w:val="single"/>
            <w:rFonts w:ascii="Aptos" w:hAnsi="Aptos"/>
          </w:rPr>
          <w:t>Schlichtung für Verbrauchergeschäfte</w:t>
        </w:r>
      </w:hyperlink>
    </w:p>
    <w:p>
      <w:pPr>
        <w:pStyle w:val="Heading1"/>
        <w:keepNext/>
        <w:widowControl/>
        <w:jc w:val="left"/>
      </w:pPr>
      <w:r>
        <w:t>Offenlegung gemäß § 25 Mediengesetz</w:t>
      </w:r>
    </w:p>
    <w:p>
      <w:pPr>
        <w:widowControl/>
      </w:pPr>
      <w:r>
        <w:t>Medieninhaber: Sebastijan-Aleksandar Kerčulj, Einzelunternehmer. Sitz: Wien. Unternehmensgegenstand: wie oben. Die Website informiert über das Unternehmen und seine Dienstleistungen und dient der Anbahnung von Aufträgen, Kooperationen und Beschäftigungsverhältnissen.</w:t>
      </w:r>
    </w:p>
    <w:sectPr>
      <w:headerReference w:type="default" r:id="rId9"/>
      <w:footerReference w:type="default" r:id="rId10"/>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LegalSmall"/>
      <w:jc w:val="right"/>
    </w:pPr>
    <w:r>
      <w:rPr>
        <w:color w:val="66736F"/>
        <w:sz w:val="16"/>
      </w:rPr>
      <w:t xml:space="preserve">PutzELF  |  Stand 02.09.2026  |  </w:t>
    </w:r>
    <w:r>
      <w:rPr>
        <w:color w:val="66736F"/>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85B"/>
        <w:sz w:val="16"/>
      </w:rPr>
      <w:t>PUTZELF  |  RECHTSTEXT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color w:val="1B2A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jc w:val="left"/>
      <w:outlineLvl w:val="0"/>
    </w:pPr>
    <w:rPr>
      <w:rFonts w:asciiTheme="majorHAnsi" w:eastAsiaTheme="majorEastAsia" w:hAnsiTheme="majorHAnsi" w:cstheme="majorBidi" w:ascii="Aptos" w:hAnsi="Aptos"/>
      <w:b/>
      <w:bCs/>
      <w:color w:val="16785B"/>
      <w:sz w:val="26"/>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Aptos" w:hAnsi="Aptos"/>
      <w:b/>
      <w:bCs/>
      <w:color w:val="16785B"/>
      <w:sz w:val="24"/>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Aptos" w:hAnsi="Aptos"/>
      <w:b/>
      <w:bCs/>
      <w:color w:val="167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80"/>
    </w:pPr>
    <w:rPr>
      <w:rFonts w:ascii="Aptos" w:hAnsi="Aptos"/>
      <w:color w:val="6673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is.bka.gv.at/" TargetMode="External"/><Relationship Id="rId12" Type="http://schemas.openxmlformats.org/officeDocument/2006/relationships/hyperlink" Target="https://www.verbraucherschlichtung.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Impressum</dc:title>
  <dc:subject>Rechtstext zur Veröffentlichung auf putzelf.com</dc:subject>
  <dc:creator/>
  <cp:keywords>PutzELF, Rechtstext, Veröffentlichung</cp:keywords>
  <dc:description/>
  <cp:lastModifiedBy/>
  <cp:revision>1</cp:revision>
  <dcterms:created xsi:type="dcterms:W3CDTF">2013-12-23T23:15:00Z</dcterms:created>
  <dcterms:modified xsi:type="dcterms:W3CDTF">2013-12-23T23:15:00Z</dcterms:modified>
  <cp:category/>
</cp:coreProperties>
</file>