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</w:t>
            </w:r>
            <w:r w:rsidDel="00000000" w:rsidR="00000000" w:rsidRPr="00000000">
              <w:rPr>
                <w:i w:val="0"/>
                <w:rtl w:val="0"/>
              </w:rPr>
              <w:t xml:space="preserve">1 PM - 2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i w:val="0"/>
                <w:rtl w:val="0"/>
              </w:rPr>
              <w:t xml:space="preserve">San Jose State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Proceed with risk management planning.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Discuss research conclusion from 03/08/2019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209-327-5601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 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Proceed and plan risk management.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Nick,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Find out in-depth feasibility of WordPress, SalesForce inventory solution, paid hosting service feasibility. (Assigned to Jaspreet)</w:t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management planning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Gather conclusion from the possibility of using WordPress, SalesForce, and paid hosting service feasibility.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Decided to research on other inventory solution possibility with a possible demo.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Zero budget inventory solution is not feasible.</w:t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and create a demo app from researched inventory solution. (Zero budget solution will not be consider as concluded from previous meeting - 03082019)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Feng,</w:t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PM - 8:45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SJSU BBC Room 103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researched finding on inventory solution.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