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rtl w:val="0"/>
        </w:rPr>
        <w:t xml:space="preserve">System Maintenance</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AssetTiger is a cloud-based service, system maintenance will be handled by their company. The only maintenance required of our project sponsor and her team will be the day-to-day tasks, like ensuring that if an asset is permanently removed from inventory then the record of it in the database is too.</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Security</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preceding section has stated, AssetTiger is a cloud-based service, meaning cybersecurity efforts will be the responsibility of their company. As for operational security pertaining to the CUSD Extensions Department, we recommend standard security protocols—not writing down login credentials in easily viewed or accessible areas and running regular virus scans on any device used to connect to the database.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36"/>
          <w:szCs w:val="36"/>
          <w:rtl w:val="0"/>
        </w:rPr>
        <w:t xml:space="preserve">System Backup and Disaster Recovery</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AssetTiger is a cloud-based system, our installation procedures are minimal. In our case, “installation” consists of emailing our sponsor and providing her the necessary login credentials to access the AssetTiger account with administrator privileges over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