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输入输出数据格式规范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适用软件：WCC4SM V0.9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通用约定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文本数值使用 MATLAB readmatrix/writetable 可解析格式。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坐标和信号必须为有限数值。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坐标必须严格递增。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波长单位为 nm，像素宽度单位为 pixel，信号通常为 AD counts。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文件可包含设备文本头；数值区必须能够被 readmatrix 识别。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输入文件不应依赖历史计算机中的绝对路径。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测量光谱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2.1 单列格式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intensity
123
127
...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单列被解释为强度。V0.9 为样本建立从 1 开始的像素序列。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2.2 两列像素—强度格式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pixel,intensity
1,123
2,127
...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加载前将 Two-column X 设为 Pixel index。第一列用于输入坐标记录；定标</w:t>
      </w:r>
    </w:p>
    <w:p>
      <w:r>
        <w:rPr>
          <w:rFonts w:ascii="Microsoft YaHei" w:hAnsi="Microsoft YaHei"/>
          <w:sz w:val="21"/>
          <w:szCs w:val="21"/>
        </w:rPr>
        <w:t>计算使用软件建立的一基数据序列及所选 Pixel sequence 语义。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2.3 两列波长—强度格式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wavelength_nm,intensity
285.34,123
285.76,127
...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加载前将 Two-column X 设为 Wavelength (nm)。输入波长用于显示和记录，</w:t>
      </w:r>
    </w:p>
    <w:p>
      <w:r>
        <w:rPr>
          <w:rFonts w:ascii="Microsoft YaHei" w:hAnsi="Microsoft YaHei"/>
          <w:sz w:val="21"/>
          <w:szCs w:val="21"/>
        </w:rPr>
        <w:t>重新定标仍使用明确的像素序列。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2.4 光谱内部字段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主要字段包括：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raw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dark, darkSource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corrected, normalized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inputX, inputWavelength, xKind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calibratedWavelength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source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PixelCoordinateMode, PixelFirst, PixelLast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暗光谱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暗光谱支持与测量光谱相同的一列或两列数值形式。要求：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有效样本数相同。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两列格式的坐标与测量光谱一致。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信号有限。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暗光谱不满足对齐条件时必须拒绝，不执行截断、插值或静默补齐。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参考谱线主库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支持 .lit、.txt、.csv。数值列含义：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wavelength_nm [, intensity [, order]]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wavelength：必需。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intensity：可选，缺省时用于显示的权重能力有限。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order：可选，缺省为 1。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有效参考波长按 wavelength × order 参与级次相关匹配。主库来源、权威机构、</w:t>
      </w:r>
    </w:p>
    <w:p>
      <w:r>
        <w:rPr>
          <w:rFonts w:ascii="Microsoft YaHei" w:hAnsi="Microsoft YaHei"/>
          <w:sz w:val="21"/>
          <w:szCs w:val="21"/>
        </w:rPr>
        <w:t>空气/真空介质和版本应在会话溯源信息中记录。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参考线选择模式 CSV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随软件发布的参考主库、选择模式和对应元数据位于 reference_data/，示例参考库</w:t>
      </w:r>
    </w:p>
    <w:p>
      <w:r>
        <w:rPr>
          <w:rFonts w:ascii="Microsoft YaHei" w:hAnsi="Microsoft YaHei"/>
          <w:sz w:val="21"/>
          <w:szCs w:val="21"/>
        </w:rPr>
        <w:t>位于 reference_data/examples/。选择模式中的 MasterSource 使用主库文件名，</w:t>
      </w:r>
    </w:p>
    <w:p>
      <w:r>
        <w:rPr>
          <w:rFonts w:ascii="Microsoft YaHei" w:hAnsi="Microsoft YaHei"/>
          <w:sz w:val="21"/>
          <w:szCs w:val="21"/>
        </w:rPr>
        <w:t>不保存机器相关的绝对路径。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导出列：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LineID,Wavelength_nm,Order,MasterSource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选择模式表示主库中当前使用的子集，不应被视为独立权威参考库。</w:t>
      </w:r>
    </w:p>
    <w:p>
      <w:r>
        <w:rPr>
          <w:rFonts w:ascii="Microsoft YaHei" w:hAnsi="Microsoft YaHei"/>
          <w:sz w:val="21"/>
          <w:szCs w:val="21"/>
        </w:rPr>
        <w:t>MasterSource 是溯源文本，不能作为程序寻找主库的绝对路径。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峰数据导出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6.1 MAT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包含：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PeakDataset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Spectrum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PeakDataset 保存峰 ID、源索引、检测像素、峰位置与宽度参数、确认状态、确认</w:t>
      </w:r>
    </w:p>
    <w:p>
      <w:r>
        <w:rPr>
          <w:rFonts w:ascii="Microsoft YaHei" w:hAnsi="Microsoft YaHei"/>
          <w:sz w:val="21"/>
          <w:szCs w:val="21"/>
        </w:rPr>
        <w:t>时间和确认设置。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6.2 CSV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用于表格审查，包含峰 ID、像素、参考波长、FWHM、ERW 和状态等摘要。</w:t>
      </w:r>
    </w:p>
    <w:p>
      <w:r>
        <w:rPr>
          <w:rFonts w:ascii="Microsoft YaHei" w:hAnsi="Microsoft YaHei"/>
          <w:sz w:val="21"/>
          <w:szCs w:val="21"/>
        </w:rPr>
        <w:t>MAT 是完整结构记录，CSV 是交换和审查视图。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初始定标导出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MAT 包含：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CalibrationPairs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InitialCalibration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FinalCalibration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CalibrationModels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ReferenceLines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PeakDataset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Spectrum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配套 CSV 是当前配对表，包含 PeakID、DetectionPixel、ReferenceWavelength、</w:t>
      </w:r>
    </w:p>
    <w:p>
      <w:r>
        <w:rPr>
          <w:rFonts w:ascii="Microsoft YaHei" w:hAnsi="Microsoft YaHei"/>
          <w:sz w:val="21"/>
          <w:szCs w:val="21"/>
        </w:rPr>
        <w:t>Order、Mode、Confidence、Locked、Status 和 InitialResidual。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最终模型导出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最终模型使用相同文件名前缀生成三种文件。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8.1 模型 MAT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包含：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CalibrationModel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CalibrationPairs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ReferenceLines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CalibrationModel 的重要字段：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valid, PositionMethod, Degree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Coefficients, Mu, NaturalCoefficients, Equation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PeakID, Pixel, ReferenceWavelength, FittedWavelength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Residual, MeanResidual, STD, RMS, MaxAbsResidual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LOOResidual, LOORMS, LOOMaxAbs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DeletionMaxCurveChange, MaxDeletionInfluence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PixelCoordinateMode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PixelFirst, PixelLast, PixelCount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CalibrationPixelFirst, CalibrationPixelLast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8.2 方程 TXT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必须包含：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 coordinate mode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pixel domain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 pixel domain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自然像素方程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峰位置方法、阶数和点数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拟合/LOO/删除影响统计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归一化系数、mu 和自然像素系数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8.3 残差 CSV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列：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PixelMode
DataPixelDomain
CalibrationPixelDomain
PeakID
Pixel
Reference_nm
Fitted_nm
Residual_nm
LOO_residual_nm
Deletion_max_curve_change_nm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像素模式和域在每行重复，使 CSV 脱离 MAT 后仍可独立解释。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会话 MAT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只允许一个顶层变量：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WCC4SMSession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顶层包含应用标识、格式/软件版本、时间戳、Metadata 和 State。State 包括光谱、</w:t>
      </w:r>
    </w:p>
    <w:p>
      <w:r>
        <w:rPr>
          <w:rFonts w:ascii="Microsoft YaHei" w:hAnsi="Microsoft YaHei"/>
          <w:sz w:val="21"/>
          <w:szCs w:val="21"/>
        </w:rPr>
        <w:t>峰、参考线、配对、模型和 UI 设置。详细结构和兼容规则见</w:t>
      </w:r>
    </w:p>
    <w:p>
      <w:r>
        <w:rPr>
          <w:rFonts w:ascii="Microsoft YaHei" w:hAnsi="Microsoft YaHei"/>
          <w:sz w:val="21"/>
          <w:szCs w:val="21"/>
        </w:rPr>
        <w:t>docs/WCC4SM_SESSION_FORMAT_V1.md。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隐私和版本控制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会话、模型和原始设备文件可能包含：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操作者名称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仪器编号和型号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测量时间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本地路径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实验数据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这些文件默认不应提交公开仓库。项目 .gitignore 排除 result/ 和会话输出，</w:t>
      </w:r>
    </w:p>
    <w:p>
      <w:r>
        <w:rPr>
          <w:rFonts w:ascii="Microsoft YaHei" w:hAnsi="Microsoft YaHei"/>
          <w:sz w:val="21"/>
          <w:szCs w:val="21"/>
        </w:rPr>
        <w:t>但用户仍需检查其他自定义文件。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格式错误处理原则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不静默重排非单调坐标。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不静默改变像素模式。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不自动裁剪长度不一致的暗光谱。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不把无关 MAT 当作会话或模型。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不因缺少推荐溯源信息破坏可用研究会话，但必须产生警告。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结构不一致、无效系数和不支持的主版本必须报错。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PDF 帮助文档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帮助资料以 .pdf 文件形式存放在外部 docs/ 目录或其子目录。软件只建立文件</w:t>
      </w:r>
    </w:p>
    <w:p>
      <w:r>
        <w:rPr>
          <w:rFonts w:ascii="Microsoft YaHei" w:hAnsi="Microsoft YaHei"/>
          <w:sz w:val="21"/>
          <w:szCs w:val="21"/>
        </w:rPr>
        <w:t>列表并调用系统阅读器，不修改PDF内容。第三方论文和标准必须由发布者或用户确认</w:t>
      </w:r>
    </w:p>
    <w:p>
      <w:r>
        <w:rPr>
          <w:rFonts w:ascii="Microsoft YaHei" w:hAnsi="Microsoft YaHei"/>
          <w:sz w:val="21"/>
          <w:szCs w:val="21"/>
        </w:rPr>
        <w:t>具有合法的复制与使用权限；WCC4SM 的 Apache License 2.0 不覆盖这些第三方文件。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