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8597A0">
      <w:pPr>
        <w:rPr>
          <w:rFonts w:hint="eastAsia" w:eastAsia="宋体"/>
          <w:lang w:eastAsia="zh-CN"/>
        </w:rPr>
      </w:pPr>
      <w:bookmarkStart w:id="0" w:name="_GoBack"/>
      <w:bookmarkEnd w:id="0"/>
      <w:r>
        <w:rPr>
          <w:rFonts w:hint="eastAsia" w:eastAsia="宋体"/>
          <w:lang w:eastAsia="zh-CN"/>
        </w:rPr>
        <w:t>报告-《关于优化集中式新能源发电企业市场报价的通知（试行）》深度解读与战略分析</w:t>
      </w:r>
    </w:p>
    <w:p w14:paraId="67ED0BF1">
      <w:pPr>
        <w:rPr>
          <w:rFonts w:hint="eastAsia" w:eastAsia="宋体"/>
          <w:lang w:eastAsia="zh-CN"/>
        </w:rPr>
      </w:pPr>
      <w:r>
        <w:rPr>
          <w:rFonts w:hint="eastAsia" w:eastAsia="宋体"/>
          <w:lang w:eastAsia="zh-CN"/>
        </w:rPr>
        <w:t>2025-12-17</w:t>
      </w:r>
    </w:p>
    <w:p w14:paraId="13B5C799">
      <w:pPr>
        <w:rPr>
          <w:rFonts w:hint="eastAsia" w:eastAsia="宋体"/>
          <w:lang w:eastAsia="zh-CN"/>
        </w:rPr>
      </w:pPr>
    </w:p>
    <w:p w14:paraId="428B65C9">
      <w:pPr>
        <w:rPr>
          <w:rFonts w:hint="eastAsia" w:eastAsia="宋体"/>
          <w:lang w:eastAsia="zh-CN"/>
        </w:rPr>
      </w:pPr>
    </w:p>
    <w:p w14:paraId="5633176D">
      <w:pPr>
        <w:rPr>
          <w:rFonts w:hint="eastAsia" w:eastAsia="宋体"/>
          <w:lang w:eastAsia="zh-CN"/>
        </w:rPr>
      </w:pPr>
    </w:p>
    <w:p w14:paraId="5DDC3418">
      <w:pPr>
        <w:rPr>
          <w:rFonts w:hint="eastAsia" w:eastAsia="宋体"/>
          <w:lang w:eastAsia="zh-CN"/>
        </w:rPr>
      </w:pPr>
      <w:r>
        <w:rPr>
          <w:rFonts w:hint="eastAsia" w:eastAsia="宋体"/>
          <w:lang w:eastAsia="zh-CN"/>
        </w:rPr>
        <w:t>深度解读与战略分析：《关于优化集中式新能源发电企业市场报价的通知（试行）》研究报告</w:t>
      </w:r>
    </w:p>
    <w:p w14:paraId="71D20327">
      <w:pPr>
        <w:rPr>
          <w:rFonts w:hint="eastAsia" w:eastAsia="宋体"/>
          <w:lang w:eastAsia="zh-CN"/>
        </w:rPr>
      </w:pPr>
    </w:p>
    <w:p w14:paraId="2D238AAF">
      <w:pPr>
        <w:rPr>
          <w:rFonts w:hint="eastAsia" w:eastAsia="宋体"/>
          <w:lang w:eastAsia="zh-CN"/>
        </w:rPr>
      </w:pPr>
      <w:r>
        <w:rPr>
          <w:rFonts w:hint="eastAsia" w:eastAsia="宋体"/>
          <w:lang w:eastAsia="zh-CN"/>
        </w:rPr>
        <w:t>1.摘要与核心观点</w:t>
      </w:r>
    </w:p>
    <w:p w14:paraId="58DF115D">
      <w:pPr>
        <w:rPr>
          <w:rFonts w:hint="eastAsia" w:eastAsia="宋体"/>
          <w:lang w:eastAsia="zh-CN"/>
        </w:rPr>
      </w:pPr>
      <w:r>
        <w:rPr>
          <w:rFonts w:hint="eastAsia" w:eastAsia="宋体"/>
          <w:lang w:eastAsia="zh-CN"/>
        </w:rPr>
        <w:t>1.1报告背景与主旨</w:t>
      </w:r>
    </w:p>
    <w:p w14:paraId="7C0B5763">
      <w:pPr>
        <w:rPr>
          <w:rFonts w:hint="eastAsia" w:eastAsia="宋体"/>
          <w:lang w:eastAsia="zh-CN"/>
        </w:rPr>
      </w:pPr>
      <w:r>
        <w:rPr>
          <w:rFonts w:hint="eastAsia" w:eastAsia="宋体"/>
          <w:lang w:eastAsia="zh-CN"/>
        </w:rPr>
        <w:t>在中国能源转型的宏大叙事中， 电力市场化改革正处于深水区攻坚的关键阶段。随着“双碳”目标的推进，新能源（风电、光伏）装机规模呈指数级增长， 已逐渐从电网的“补充能源”转变为“主体能源” 。然而，新能源发电具有波动性、间歇性以及单体规模相对较小的特征，这与传统以煤电为主体、强调确定性与规模效应的电力市场机制产生了深刻的摩擦。在此背景下， 国家发展改革委、国家能源局联合发布的《关于优化集中式新能源发电企业市场报价的通知（试行）》（以下简称《通知》或 “1476号文”）应运而生。</w:t>
      </w:r>
    </w:p>
    <w:p w14:paraId="33F71DA8">
      <w:pPr>
        <w:rPr>
          <w:rFonts w:hint="eastAsia" w:eastAsia="宋体"/>
          <w:lang w:eastAsia="zh-CN"/>
        </w:rPr>
      </w:pPr>
      <w:r>
        <w:rPr>
          <w:rFonts w:hint="eastAsia" w:eastAsia="宋体"/>
          <w:lang w:eastAsia="zh-CN"/>
        </w:rPr>
        <w:t>本报告旨在为电力行业从业者、政策制定者及投资者提供一份详尽的深度研究报告。报告将从政策出台的宏观背景出发，对《通知》的条款进行逐字逐句的法理与经济学解读，并专门开辟章节以通俗易懂的语言对政策逻辑进行“ 降维” 阐释。更为核心的是，本报告将深入剖析该政策对现货市场报价策略、市场力控制、 电网调度运行以及企业内部治理结构带来的深远影响，揭示其背后的经济学原理与行业变革趋势。</w:t>
      </w:r>
    </w:p>
    <w:p w14:paraId="531520BD">
      <w:pPr>
        <w:rPr>
          <w:rFonts w:hint="eastAsia" w:eastAsia="宋体"/>
          <w:lang w:eastAsia="zh-CN"/>
        </w:rPr>
      </w:pPr>
      <w:r>
        <w:rPr>
          <w:rFonts w:hint="eastAsia" w:eastAsia="宋体"/>
          <w:lang w:eastAsia="zh-CN"/>
        </w:rPr>
        <w:t>1.2 核心观点概览</w:t>
      </w:r>
    </w:p>
    <w:p w14:paraId="1924804D">
      <w:pPr>
        <w:rPr>
          <w:rFonts w:hint="eastAsia" w:eastAsia="宋体"/>
          <w:lang w:eastAsia="zh-CN"/>
        </w:rPr>
      </w:pPr>
      <w:r>
        <w:rPr>
          <w:rFonts w:hint="eastAsia" w:eastAsia="宋体"/>
          <w:lang w:eastAsia="zh-CN"/>
        </w:rPr>
        <w:t>经过对政策文本及相关市场数据的深度研判，本报告提出以下核心观点：</w:t>
      </w:r>
    </w:p>
    <w:p w14:paraId="2E8FC6A2">
      <w:pPr>
        <w:rPr>
          <w:rFonts w:hint="eastAsia" w:eastAsia="宋体"/>
          <w:lang w:eastAsia="zh-CN"/>
        </w:rPr>
      </w:pPr>
      <w:r>
        <w:rPr>
          <w:rFonts w:hint="eastAsia" w:eastAsia="宋体"/>
          <w:lang w:eastAsia="zh-CN"/>
        </w:rPr>
        <w:t>1.   从 “原子化”到“集团军” 的战略转型：《通知》的核心在于打破了新能源场站“单兵作战” 的低效格局，允许同一集团在同一省份内的场站进行“物理聚合、统一报价” 。这意味着新能源参与市场的逻辑从单纯的“ 电量销售”转向了“资产组合管理” ，极大地降低了交易成本并提升了风险对冲能力 。</w:t>
      </w:r>
    </w:p>
    <w:p w14:paraId="5F85A279">
      <w:pPr>
        <w:rPr>
          <w:rFonts w:hint="eastAsia" w:eastAsia="宋体"/>
          <w:lang w:eastAsia="zh-CN"/>
        </w:rPr>
      </w:pPr>
      <w:r>
        <w:rPr>
          <w:rFonts w:hint="eastAsia" w:eastAsia="宋体"/>
          <w:lang w:eastAsia="zh-CN"/>
        </w:rPr>
        <w:t>2.   市场力的“笼子”与效率的平衡：政策在放开报价权限的同时，设置了极其精妙的防垄断“熔断机制”——即联合报价的总装机规模不得超过当地单机容量最大的煤电厂。这一设计在反垄断经济学上具有重要意义，既赋予了新能源与传统火电巨头同台竞技的“体量” ，又防止了超级能源央企在单一省份形成压倒性的市场支配地位 。</w:t>
      </w:r>
    </w:p>
    <w:p w14:paraId="79F3386C">
      <w:pPr>
        <w:rPr>
          <w:rFonts w:hint="eastAsia" w:eastAsia="宋体"/>
          <w:lang w:eastAsia="zh-CN"/>
        </w:rPr>
      </w:pPr>
      <w:r>
        <w:rPr>
          <w:rFonts w:hint="eastAsia" w:eastAsia="宋体"/>
          <w:lang w:eastAsia="zh-CN"/>
        </w:rPr>
        <w:t>3.   “ 四不改变” 下的双轨制运行：政策明确了“报价集中、结算独立、调度独立” 的原则。这种“金融层面聚合、物理层面解耦” 的混合模式，虽然规避了大规模的资产重组和法律变更成本，但也给电网调度中心的“计划分解”算法以及企业内部的“偏差电量结算”带来了巨大的技术与管理挑战 。</w:t>
      </w:r>
    </w:p>
    <w:p w14:paraId="1ABC39B3">
      <w:pPr>
        <w:rPr>
          <w:rFonts w:hint="eastAsia" w:eastAsia="宋体"/>
          <w:lang w:eastAsia="zh-CN"/>
        </w:rPr>
      </w:pPr>
      <w:r>
        <w:rPr>
          <w:rFonts w:hint="eastAsia" w:eastAsia="宋体"/>
          <w:lang w:eastAsia="zh-CN"/>
        </w:rPr>
        <w:t>4.   应对“负电价”与“价格蚕食” 的利器：在现货市场负电价频发的背景下，集中报价允许企业通过内部的风光互补、空间互补，优化申报曲线，从而在避免恶性竞争的同时，通过更精准的预测和策略性的物理留存（Physical Withholding）来稳定收益 。</w:t>
      </w:r>
    </w:p>
    <w:p w14:paraId="60AA1F9F">
      <w:pPr>
        <w:rPr>
          <w:rFonts w:hint="eastAsia" w:eastAsia="宋体"/>
          <w:lang w:eastAsia="zh-CN"/>
        </w:rPr>
      </w:pPr>
      <w:r>
        <w:rPr>
          <w:rFonts w:hint="eastAsia" w:eastAsia="宋体"/>
          <w:lang w:eastAsia="zh-CN"/>
        </w:rPr>
        <w:t>2.宏观背景：新能源入市的结构性困境</w:t>
      </w:r>
    </w:p>
    <w:p w14:paraId="7F31A8C2">
      <w:pPr>
        <w:rPr>
          <w:rFonts w:hint="eastAsia" w:eastAsia="宋体"/>
          <w:lang w:eastAsia="zh-CN"/>
        </w:rPr>
      </w:pPr>
      <w:r>
        <w:rPr>
          <w:rFonts w:hint="eastAsia" w:eastAsia="宋体"/>
          <w:lang w:eastAsia="zh-CN"/>
        </w:rPr>
        <w:t>要深刻理解《通知》的含金量，必须首先厘清当前中国电力市场面临的结构性矛盾。这并非一份孤立的文件，而是对前期 “1439号文”（《关于进一步深化燃煤发电上网电价市场化改革的通知》）及各地现货市场试运行中暴露问题的精准纠偏。</w:t>
      </w:r>
    </w:p>
    <w:p w14:paraId="460B179A">
      <w:pPr>
        <w:rPr>
          <w:rFonts w:hint="eastAsia" w:eastAsia="宋体"/>
          <w:lang w:eastAsia="zh-CN"/>
        </w:rPr>
      </w:pPr>
      <w:r>
        <w:rPr>
          <w:rFonts w:hint="eastAsia" w:eastAsia="宋体"/>
          <w:lang w:eastAsia="zh-CN"/>
        </w:rPr>
        <w:t>2.1新能源的“ 身份危机”：从被动保障到主动博弈</w:t>
      </w:r>
    </w:p>
    <w:p w14:paraId="2F50732D">
      <w:pPr>
        <w:rPr>
          <w:rFonts w:hint="eastAsia" w:eastAsia="宋体"/>
          <w:lang w:eastAsia="zh-CN"/>
        </w:rPr>
      </w:pPr>
      <w:r>
        <w:rPr>
          <w:rFonts w:hint="eastAsia" w:eastAsia="宋体"/>
          <w:lang w:eastAsia="zh-CN"/>
        </w:rPr>
        <w:t>长期以来， 中国的新能源发展依赖于“保量保价” 的政策红利。然而，随着装机占比在部分省份（如甘肃、青海、 山东 ）突破40%甚至50%， 电网消纳能力逼近极限。</w:t>
      </w:r>
    </w:p>
    <w:p w14:paraId="4FE9EC41">
      <w:pPr>
        <w:rPr>
          <w:rFonts w:hint="eastAsia" w:eastAsia="宋体"/>
          <w:lang w:eastAsia="zh-CN"/>
        </w:rPr>
      </w:pPr>
      <w:r>
        <w:rPr>
          <w:rFonts w:hint="eastAsia" w:eastAsia="宋体"/>
          <w:lang w:eastAsia="zh-CN"/>
        </w:rPr>
        <w:t>●   边际成本为零的诅咒：在经济学上，风光的边际成本接近于零。在现货市场竞价中，为了确保中标，单一新能源场站往往倾向于报地板价（甚至负电价） 。 当成千上万个小场站同时采取这种“ 自杀式”报价时，市场价格会瞬间崩塌，导致“价格蚕食效应”（Cannibalization Effect）</w:t>
      </w:r>
    </w:p>
    <w:p w14:paraId="688912CA">
      <w:pPr>
        <w:rPr>
          <w:rFonts w:hint="eastAsia" w:eastAsia="宋体"/>
          <w:lang w:eastAsia="zh-CN"/>
        </w:rPr>
      </w:pPr>
      <w:r>
        <w:rPr>
          <w:rFonts w:hint="eastAsia" w:eastAsia="宋体"/>
          <w:lang w:eastAsia="zh-CN"/>
        </w:rPr>
        <w:t>——即新能源发电越多，市场价格越低，最终收入不增反降 。</w:t>
      </w:r>
    </w:p>
    <w:p w14:paraId="292415F4">
      <w:pPr>
        <w:rPr>
          <w:rFonts w:hint="eastAsia" w:eastAsia="宋体"/>
          <w:lang w:eastAsia="zh-CN"/>
        </w:rPr>
      </w:pPr>
      <w:r>
        <w:rPr>
          <w:rFonts w:hint="eastAsia" w:eastAsia="宋体"/>
          <w:lang w:eastAsia="zh-CN"/>
        </w:rPr>
        <w:t>●   信息不对称：传统煤电厂通常拥有庞大的交易团队和成熟的成本模型。相比之下，一个50MW的光伏电站，其年营收可能仅为数千万元，难以支撑一支专业的交易团队、购买昂贵的气象数据终端或部署高频交易算法。这导致大量中小场站沦为市场的“盲目跟随者” ，加剧了市场的非理性波动 。</w:t>
      </w:r>
    </w:p>
    <w:p w14:paraId="5A9F216A">
      <w:pPr>
        <w:rPr>
          <w:rFonts w:hint="eastAsia" w:eastAsia="宋体"/>
          <w:lang w:eastAsia="zh-CN"/>
        </w:rPr>
      </w:pPr>
      <w:r>
        <w:rPr>
          <w:rFonts w:hint="eastAsia" w:eastAsia="宋体"/>
          <w:lang w:eastAsia="zh-CN"/>
        </w:rPr>
        <w:t>2.2 碎片化治理的高昂成本</w:t>
      </w:r>
    </w:p>
    <w:p w14:paraId="3AAE076E">
      <w:pPr>
        <w:rPr>
          <w:rFonts w:hint="eastAsia" w:eastAsia="宋体"/>
          <w:lang w:eastAsia="zh-CN"/>
        </w:rPr>
      </w:pPr>
      <w:r>
        <w:rPr>
          <w:rFonts w:hint="eastAsia" w:eastAsia="宋体"/>
          <w:lang w:eastAsia="zh-CN"/>
        </w:rPr>
        <w:t>在《通知》出台前，市场注册主体以“项目公司” 为单位。一家大型发电集团（如国家电投或华能）在某省可能拥有数十个甚至上百个独立注册的新能源项目公司。</w:t>
      </w:r>
    </w:p>
    <w:p w14:paraId="23C3E35F">
      <w:pPr>
        <w:rPr>
          <w:rFonts w:hint="eastAsia" w:eastAsia="宋体"/>
          <w:lang w:eastAsia="zh-CN"/>
        </w:rPr>
      </w:pPr>
      <w:r>
        <w:rPr>
          <w:rFonts w:hint="eastAsia" w:eastAsia="宋体"/>
          <w:lang w:eastAsia="zh-CN"/>
        </w:rPr>
        <w:t>●   交易摩擦：每个主体都需要独立进行日前的负荷预测、 申报、合同签订和结算复核。这不仅造成了巨大的人力资源浪费，也使得集团层面的统筹优化变得极度困难。</w:t>
      </w:r>
    </w:p>
    <w:p w14:paraId="24087882">
      <w:pPr>
        <w:rPr>
          <w:rFonts w:hint="eastAsia" w:eastAsia="宋体"/>
          <w:lang w:eastAsia="zh-CN"/>
        </w:rPr>
      </w:pPr>
      <w:r>
        <w:rPr>
          <w:rFonts w:hint="eastAsia" w:eastAsia="宋体"/>
          <w:lang w:eastAsia="zh-CN"/>
        </w:rPr>
        <w:t>●   风险裸露：单一场站对微气象极其敏感。一片云飘过，光伏出力骤降，该场站即面临巨额的中长期合同偏差考核罚款。而在同一集团的另一个风电场此时可能风力正劲，却无法在物理层面或账面层面直接对冲前者的亏损。</w:t>
      </w:r>
    </w:p>
    <w:p w14:paraId="49FC4A79">
      <w:pPr>
        <w:rPr>
          <w:rFonts w:hint="eastAsia" w:eastAsia="宋体"/>
          <w:lang w:eastAsia="zh-CN"/>
        </w:rPr>
      </w:pPr>
      <w:r>
        <w:rPr>
          <w:rFonts w:hint="eastAsia" w:eastAsia="宋体"/>
          <w:lang w:eastAsia="zh-CN"/>
        </w:rPr>
        <w:t>因此，市场迫切需要一种机制，能够在不改变产权结构的前提下，实现运营层面的“化零为整” 。《通知》正是对这一行业痛点的直接回应。</w:t>
      </w:r>
    </w:p>
    <w:p w14:paraId="69B33F87">
      <w:pPr>
        <w:rPr>
          <w:rFonts w:hint="eastAsia" w:eastAsia="宋体"/>
          <w:lang w:eastAsia="zh-CN"/>
        </w:rPr>
      </w:pPr>
      <w:r>
        <w:rPr>
          <w:rFonts w:hint="eastAsia" w:eastAsia="宋体"/>
          <w:lang w:eastAsia="zh-CN"/>
        </w:rPr>
        <w:t>3. 政策文本深度解析与法理阐释</w:t>
      </w:r>
    </w:p>
    <w:p w14:paraId="53174E84">
      <w:pPr>
        <w:rPr>
          <w:rFonts w:hint="eastAsia" w:eastAsia="宋体"/>
          <w:lang w:eastAsia="zh-CN"/>
        </w:rPr>
      </w:pPr>
      <w:r>
        <w:rPr>
          <w:rFonts w:hint="eastAsia" w:eastAsia="宋体"/>
          <w:lang w:eastAsia="zh-CN"/>
        </w:rPr>
        <w:t>本章节将依据《通知》原文，逐条剖析其核心条款的深层含义、适用范围及潜在的监管逻辑。</w:t>
      </w:r>
    </w:p>
    <w:p w14:paraId="36933C4B">
      <w:pPr>
        <w:rPr>
          <w:rFonts w:hint="eastAsia" w:eastAsia="宋体"/>
          <w:lang w:eastAsia="zh-CN"/>
        </w:rPr>
      </w:pPr>
      <w:r>
        <w:rPr>
          <w:rFonts w:hint="eastAsia" w:eastAsia="宋体"/>
          <w:lang w:eastAsia="zh-CN"/>
        </w:rPr>
        <w:t>3.1核心定义与适用范围</w:t>
      </w:r>
    </w:p>
    <w:p w14:paraId="3408FB28">
      <w:pPr>
        <w:rPr>
          <w:rFonts w:hint="eastAsia" w:eastAsia="宋体"/>
          <w:lang w:eastAsia="zh-CN"/>
        </w:rPr>
      </w:pPr>
      <w:r>
        <w:rPr>
          <w:rFonts w:hint="eastAsia" w:eastAsia="宋体"/>
          <w:lang w:eastAsia="zh-CN"/>
        </w:rPr>
        <w:t>《通知》首先对“集中报价”进行了严格的法律界定。</w:t>
      </w:r>
    </w:p>
    <w:p w14:paraId="711F1C1A">
      <w:pPr>
        <w:rPr>
          <w:rFonts w:hint="eastAsia" w:eastAsia="宋体"/>
          <w:lang w:eastAsia="zh-CN"/>
        </w:rPr>
      </w:pPr>
      <w:r>
        <w:rPr>
          <w:rFonts w:hint="eastAsia" w:eastAsia="宋体"/>
          <w:lang w:eastAsia="zh-CN"/>
        </w:rPr>
        <w:t>条款解读：“本通知所称集中报价，特指多个已完成市场注册的集中式新能源发电企业（不含分布式、‘沙戈荒’大基地等新能源）， 在同一固定场所参与电能量市场交易中的集中报价行为。”</w:t>
      </w:r>
    </w:p>
    <w:p w14:paraId="10C3C90B">
      <w:pPr>
        <w:rPr>
          <w:rFonts w:hint="eastAsia" w:eastAsia="宋体"/>
          <w:lang w:eastAsia="zh-CN"/>
        </w:rPr>
      </w:pPr>
      <w:r>
        <w:rPr>
          <w:rFonts w:hint="eastAsia" w:eastAsia="宋体"/>
          <w:lang w:eastAsia="zh-CN"/>
        </w:rPr>
        <w:t>●   “集中式” 限定：政策明确剔除了分布式光伏。这是因为分布式项目（如户用光伏、工商业屋顶 ）通常接入配电网，且数量呈百万级，其聚合方式更适合“虚拟电厂”（VPP）或负荷聚合商模式，而非单纯的发电侧集中报价。</w:t>
      </w:r>
    </w:p>
    <w:p w14:paraId="766AD1BB">
      <w:pPr>
        <w:rPr>
          <w:rFonts w:hint="eastAsia" w:eastAsia="宋体"/>
          <w:lang w:eastAsia="zh-CN"/>
        </w:rPr>
      </w:pPr>
      <w:r>
        <w:rPr>
          <w:rFonts w:hint="eastAsia" w:eastAsia="宋体"/>
          <w:lang w:eastAsia="zh-CN"/>
        </w:rPr>
        <w:t>●   “沙戈荒”大基地排除：沙漠、戈壁、荒漠地区的大型风光基地通常配套特高压外送通道，其电能往往通过“ 点对网”或“ 网对网” 的方式输送至受端省份（如从甘肃送至湖南） 。这类项目的定价机制往往涉及复杂的跨省协议和政府间框架，不完全遵循本地省内现货市场的竞价逻辑 , 因此暂时不纳入此次试行范围  。</w:t>
      </w:r>
    </w:p>
    <w:p w14:paraId="5A4921F5">
      <w:pPr>
        <w:rPr>
          <w:rFonts w:hint="eastAsia" w:eastAsia="宋体"/>
          <w:lang w:eastAsia="zh-CN"/>
        </w:rPr>
      </w:pPr>
      <w:r>
        <w:rPr>
          <w:rFonts w:hint="eastAsia" w:eastAsia="宋体"/>
          <w:lang w:eastAsia="zh-CN"/>
        </w:rPr>
        <w:t>●   “ 同一固定场所”：这一物理空间的限定（Colocation）实际上是在监管上要求企业建立实体的“交易中心”或“调度台” ，便于监管机构进行现场核查和数据监控， 防止出现由于人员分散导致的内幕交易或管理失控 。</w:t>
      </w:r>
    </w:p>
    <w:p w14:paraId="2288CC17">
      <w:pPr>
        <w:rPr>
          <w:rFonts w:hint="eastAsia" w:eastAsia="宋体"/>
          <w:lang w:eastAsia="zh-CN"/>
        </w:rPr>
      </w:pPr>
      <w:r>
        <w:rPr>
          <w:rFonts w:hint="eastAsia" w:eastAsia="宋体"/>
          <w:lang w:eastAsia="zh-CN"/>
        </w:rPr>
        <w:t>3.2 市场准入的“双重约束”</w:t>
      </w:r>
    </w:p>
    <w:p w14:paraId="45097C2F">
      <w:pPr>
        <w:rPr>
          <w:rFonts w:hint="eastAsia" w:eastAsia="宋体"/>
          <w:lang w:eastAsia="zh-CN"/>
        </w:rPr>
      </w:pPr>
      <w:r>
        <w:rPr>
          <w:rFonts w:hint="eastAsia" w:eastAsia="宋体"/>
          <w:lang w:eastAsia="zh-CN"/>
        </w:rPr>
        <w:t>为了防止市场过度集中导致垄断，《通知》设计了极为严苛的准入边界，可概括为“ 身份约束”与“规模约束” 。</w:t>
      </w:r>
    </w:p>
    <w:p w14:paraId="5E269A58">
      <w:pPr>
        <w:rPr>
          <w:rFonts w:hint="eastAsia" w:eastAsia="宋体"/>
          <w:lang w:eastAsia="zh-CN"/>
        </w:rPr>
      </w:pPr>
      <w:r>
        <w:rPr>
          <w:rFonts w:hint="eastAsia" w:eastAsia="宋体"/>
          <w:lang w:eastAsia="zh-CN"/>
        </w:rPr>
        <w:t>3.2.1 身份约束：同一集团、 同一省份</w:t>
      </w:r>
    </w:p>
    <w:p w14:paraId="7CF8762A">
      <w:pPr>
        <w:rPr>
          <w:rFonts w:hint="eastAsia" w:eastAsia="宋体"/>
          <w:lang w:eastAsia="zh-CN"/>
        </w:rPr>
      </w:pPr>
      <w:r>
        <w:rPr>
          <w:rFonts w:hint="eastAsia" w:eastAsia="宋体"/>
          <w:lang w:eastAsia="zh-CN"/>
        </w:rPr>
        <w:t>条款解读：“原则上仅允许同一集团（同一母公司、 同一控股股东、同一实际控制人等）内同一省（区、市）的新能源发电企业进行集中报价，禁止跨集团、跨省（区、市）集中报价。”</w:t>
      </w:r>
    </w:p>
    <w:p w14:paraId="3DC3D0DD">
      <w:pPr>
        <w:rPr>
          <w:rFonts w:hint="eastAsia" w:eastAsia="宋体"/>
          <w:lang w:eastAsia="zh-CN"/>
        </w:rPr>
      </w:pPr>
      <w:r>
        <w:rPr>
          <w:rFonts w:hint="eastAsia" w:eastAsia="宋体"/>
          <w:lang w:eastAsia="zh-CN"/>
        </w:rPr>
        <w:t>●   反卡特尔逻辑：这一条款是典型的反垄断防火墙。如果允许跨集团联合报价，例如五大发电集团在某省联合起来，极其容易形成价格卡特尔（Cartel）， 操纵市场价格。将联合限制在“ 同一实际控制人” 内部，是承认集团内部管理的合法性， 同时阻断了不同资本主体间的合谋路径。</w:t>
      </w:r>
    </w:p>
    <w:p w14:paraId="74F63A2E">
      <w:pPr>
        <w:rPr>
          <w:rFonts w:hint="eastAsia" w:eastAsia="宋体"/>
          <w:lang w:eastAsia="zh-CN"/>
        </w:rPr>
      </w:pPr>
      <w:r>
        <w:rPr>
          <w:rFonts w:hint="eastAsia" w:eastAsia="宋体"/>
          <w:lang w:eastAsia="zh-CN"/>
        </w:rPr>
        <w:t>●   省间壁垒的现实：禁止跨省集中报价，反映了中国电力市场当前仍以省为实体运行的现状。</w:t>
      </w:r>
    </w:p>
    <w:p w14:paraId="2AF6C10E">
      <w:pPr>
        <w:rPr>
          <w:rFonts w:hint="eastAsia" w:eastAsia="宋体"/>
          <w:lang w:eastAsia="zh-CN"/>
        </w:rPr>
      </w:pPr>
      <w:r>
        <w:rPr>
          <w:rFonts w:hint="eastAsia" w:eastAsia="宋体"/>
          <w:lang w:eastAsia="zh-CN"/>
        </w:rPr>
        <w:t>省间壁垒、输电通道阻塞以及各省交易规则（如现货出清算法、结算时序）的巨大差异，使得跨省物理聚合在技术上尚不可行。</w:t>
      </w:r>
    </w:p>
    <w:p w14:paraId="3C9318BB">
      <w:pPr>
        <w:rPr>
          <w:rFonts w:hint="eastAsia" w:eastAsia="宋体"/>
          <w:lang w:eastAsia="zh-CN"/>
        </w:rPr>
      </w:pPr>
      <w:r>
        <w:rPr>
          <w:rFonts w:hint="eastAsia" w:eastAsia="宋体"/>
          <w:lang w:eastAsia="zh-CN"/>
        </w:rPr>
        <w:t>3.2.2 规模约束：对标“最大煤电厂”</w:t>
      </w:r>
    </w:p>
    <w:p w14:paraId="1687A3C5">
      <w:pPr>
        <w:rPr>
          <w:rFonts w:hint="eastAsia" w:eastAsia="宋体"/>
          <w:lang w:eastAsia="zh-CN"/>
        </w:rPr>
      </w:pPr>
      <w:r>
        <w:rPr>
          <w:rFonts w:hint="eastAsia" w:eastAsia="宋体"/>
          <w:lang w:eastAsia="zh-CN"/>
        </w:rPr>
        <w:t>条款解读：“原则上集中后的总装机规模不应超过所在省（区、市）电力市场单个最大燃煤发电厂装机规模（不含特高压输电通道配套电源） 。” 这是《通知》中最具智慧的制度设计。</w:t>
      </w:r>
    </w:p>
    <w:p w14:paraId="79589EC9">
      <w:pPr>
        <w:rPr>
          <w:rFonts w:hint="eastAsia" w:eastAsia="宋体"/>
          <w:lang w:eastAsia="zh-CN"/>
        </w:rPr>
      </w:pPr>
      <w:r>
        <w:rPr>
          <w:rFonts w:hint="eastAsia" w:eastAsia="宋体"/>
          <w:lang w:eastAsia="zh-CN"/>
        </w:rPr>
        <w:t>●    HHI指数的动态平衡：在反垄断经济学中，赫芬达尔—赫希曼指数（HHI）用于衡量市场集中度。如果允许一个集团将全省10GW的新能源全部打包，其体量将远超任何单一市场主体，极易成为“ 关键供应商”（Pivotal Supplier），拥有操纵价格的能力。</w:t>
      </w:r>
    </w:p>
    <w:p w14:paraId="7FA278CF">
      <w:pPr>
        <w:rPr>
          <w:rFonts w:hint="eastAsia" w:eastAsia="宋体"/>
          <w:lang w:eastAsia="zh-CN"/>
        </w:rPr>
      </w:pPr>
      <w:r>
        <w:rPr>
          <w:rFonts w:hint="eastAsia" w:eastAsia="宋体"/>
          <w:lang w:eastAsia="zh-CN"/>
        </w:rPr>
        <w:t>●   对标逻辑：通过将上限设定为“最大煤电厂” 的规模（通常为2GW-4GW，视省份而定，如4台1000MW机组 ），监管层实际上是在说：“你可以变大，但不能比现在的‘带头大哥’（火电巨头 ）更大。”这既赋予了新能源与火电平等对话的权利，又维持了市场结构的原有平衡  。</w:t>
      </w:r>
    </w:p>
    <w:p w14:paraId="6EA96AF1">
      <w:pPr>
        <w:rPr>
          <w:rFonts w:hint="eastAsia" w:eastAsia="宋体"/>
          <w:lang w:eastAsia="zh-CN"/>
        </w:rPr>
      </w:pPr>
      <w:r>
        <w:rPr>
          <w:rFonts w:hint="eastAsia" w:eastAsia="宋体"/>
          <w:lang w:eastAsia="zh-CN"/>
        </w:rPr>
        <w:t>3.3 “ 四不改变”原则：物理与金融的解耦</w:t>
      </w:r>
    </w:p>
    <w:p w14:paraId="25C5B617">
      <w:pPr>
        <w:rPr>
          <w:rFonts w:hint="eastAsia" w:eastAsia="宋体"/>
          <w:lang w:eastAsia="zh-CN"/>
        </w:rPr>
      </w:pPr>
      <w:r>
        <w:rPr>
          <w:rFonts w:hint="eastAsia" w:eastAsia="宋体"/>
          <w:lang w:eastAsia="zh-CN"/>
        </w:rPr>
        <w:t>《通知》确立了集中报价的“混合模式”属性，即“ 四不改变”。</w:t>
      </w:r>
    </w:p>
    <w:p w14:paraId="62B4CFE2">
      <w:pPr>
        <w:rPr>
          <w:rFonts w:hint="eastAsia" w:eastAsia="宋体"/>
          <w:lang w:eastAsia="zh-CN"/>
        </w:rPr>
      </w:pPr>
      <w:r>
        <w:rPr>
          <w:rFonts w:hint="eastAsia" w:eastAsia="宋体"/>
          <w:lang w:eastAsia="zh-CN"/>
        </w:rPr>
        <w:t xml:space="preserve">条款解读：“新能源发电企业参与集中报价，不改变其独立市场地位、调度管理关系、交易结算关系等。” </w:t>
      </w:r>
    </w:p>
    <w:p w14:paraId="06611DE2">
      <w:pPr>
        <w:rPr>
          <w:rFonts w:hint="eastAsia" w:eastAsia="宋体"/>
          <w:lang w:eastAsia="zh-CN"/>
        </w:rPr>
      </w:pPr>
      <w:r>
        <w:rPr>
          <w:rFonts w:hint="eastAsia" w:eastAsia="宋体"/>
          <w:lang w:eastAsia="zh-CN"/>
        </w:rPr>
        <w:t>这一原则构建了一个复杂的金融-物理双层架构：</w:t>
      </w:r>
    </w:p>
    <w:p w14:paraId="0EAFA25A">
      <w:pPr>
        <w:keepNext w:val="0"/>
        <w:keepLines w:val="0"/>
        <w:widowControl/>
        <w:suppressLineNumbers w:val="0"/>
        <w:jc w:val="left"/>
      </w:pPr>
      <w:r>
        <w:rPr>
          <w:rFonts w:hint="eastAsia" w:ascii="微软雅黑" w:hAnsi="微软雅黑" w:eastAsia="微软雅黑" w:cs="微软雅黑"/>
          <w:kern w:val="0"/>
          <w:sz w:val="30"/>
          <w:szCs w:val="30"/>
          <w:lang w:val="en-US" w:eastAsia="zh-CN" w:bidi="ar"/>
        </w:rPr>
        <w:t> </w:t>
      </w:r>
    </w:p>
    <w:tbl>
      <w:tblPr>
        <w:tblStyle w:val="10"/>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65"/>
        <w:gridCol w:w="1250"/>
        <w:gridCol w:w="5745"/>
      </w:tblGrid>
      <w:tr w14:paraId="60F1C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645" w:hRule="atLeast"/>
        </w:trPr>
        <w:tc>
          <w:tcPr>
            <w:tcW w:w="2365" w:type="dxa"/>
            <w:tcBorders>
              <w:top w:val="single" w:color="000000" w:sz="6" w:space="0"/>
              <w:left w:val="single" w:color="000000" w:sz="6" w:space="0"/>
              <w:bottom w:val="single" w:color="000000" w:sz="6" w:space="0"/>
              <w:right w:val="single" w:color="000000" w:sz="6" w:space="0"/>
            </w:tcBorders>
            <w:shd w:val="clear" w:color="auto" w:fill="FFFFFF"/>
            <w:vAlign w:val="top"/>
          </w:tcPr>
          <w:p w14:paraId="261508FB">
            <w:pPr>
              <w:keepNext w:val="0"/>
              <w:keepLines w:val="0"/>
              <w:widowControl/>
              <w:suppressLineNumbers w:val="0"/>
              <w:wordWrap w:val="0"/>
              <w:spacing w:before="0" w:beforeAutospacing="0" w:after="0" w:afterAutospacing="0"/>
              <w:ind w:left="0" w:right="0"/>
              <w:jc w:val="left"/>
              <w:rPr>
                <w:rFonts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维度</w:t>
            </w:r>
          </w:p>
        </w:tc>
        <w:tc>
          <w:tcPr>
            <w:tcW w:w="1250" w:type="dxa"/>
            <w:tcBorders>
              <w:top w:val="single" w:color="000000" w:sz="6" w:space="0"/>
              <w:left w:val="single" w:color="000000" w:sz="6" w:space="0"/>
              <w:bottom w:val="single" w:color="000000" w:sz="6" w:space="0"/>
              <w:right w:val="single" w:color="000000" w:sz="6" w:space="0"/>
            </w:tcBorders>
            <w:shd w:val="clear" w:color="auto" w:fill="FFFFFF"/>
            <w:vAlign w:val="top"/>
          </w:tcPr>
          <w:p w14:paraId="43723693">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状态</w:t>
            </w:r>
          </w:p>
        </w:tc>
        <w:tc>
          <w:tcPr>
            <w:tcW w:w="5745" w:type="dxa"/>
            <w:tcBorders>
              <w:top w:val="single" w:color="000000" w:sz="6" w:space="0"/>
              <w:left w:val="nil"/>
              <w:bottom w:val="single" w:color="000000" w:sz="6" w:space="0"/>
              <w:right w:val="single" w:color="000000" w:sz="6" w:space="0"/>
            </w:tcBorders>
            <w:shd w:val="clear" w:color="auto" w:fill="FFFFFF"/>
            <w:vAlign w:val="top"/>
          </w:tcPr>
          <w:p w14:paraId="1D7BC022">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解释</w:t>
            </w:r>
          </w:p>
        </w:tc>
      </w:tr>
      <w:tr w14:paraId="028E9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960" w:hRule="atLeast"/>
        </w:trPr>
        <w:tc>
          <w:tcPr>
            <w:tcW w:w="2365" w:type="dxa"/>
            <w:tcBorders>
              <w:top w:val="nil"/>
              <w:left w:val="single" w:color="000000" w:sz="6" w:space="0"/>
              <w:bottom w:val="single" w:color="000000" w:sz="6" w:space="0"/>
              <w:right w:val="single" w:color="000000" w:sz="6" w:space="0"/>
            </w:tcBorders>
            <w:shd w:val="clear" w:color="auto" w:fill="FFFFFF"/>
            <w:vAlign w:val="top"/>
          </w:tcPr>
          <w:p w14:paraId="3E2A5C4F">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报价层面（金融）</w:t>
            </w:r>
          </w:p>
        </w:tc>
        <w:tc>
          <w:tcPr>
            <w:tcW w:w="1250" w:type="dxa"/>
            <w:tcBorders>
              <w:top w:val="nil"/>
              <w:left w:val="single" w:color="000000" w:sz="6" w:space="0"/>
              <w:bottom w:val="single" w:color="000000" w:sz="6" w:space="0"/>
              <w:right w:val="single" w:color="000000" w:sz="6" w:space="0"/>
            </w:tcBorders>
            <w:shd w:val="clear" w:color="auto" w:fill="FFFFFF"/>
            <w:vAlign w:val="top"/>
          </w:tcPr>
          <w:p w14:paraId="7F112C76">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集中</w:t>
            </w:r>
          </w:p>
        </w:tc>
        <w:tc>
          <w:tcPr>
            <w:tcW w:w="5745" w:type="dxa"/>
            <w:tcBorders>
              <w:top w:val="nil"/>
              <w:left w:val="nil"/>
              <w:bottom w:val="single" w:color="000000" w:sz="6" w:space="0"/>
              <w:right w:val="single" w:color="000000" w:sz="6" w:space="0"/>
            </w:tcBorders>
            <w:shd w:val="clear" w:color="auto" w:fill="FFFFFF"/>
            <w:vAlign w:val="top"/>
          </w:tcPr>
          <w:p w14:paraId="0D6F43AA">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集团交易中心作为一个整体发出价格/数量信号。</w:t>
            </w:r>
          </w:p>
        </w:tc>
      </w:tr>
      <w:tr w14:paraId="25314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260" w:hRule="atLeast"/>
        </w:trPr>
        <w:tc>
          <w:tcPr>
            <w:tcW w:w="2365" w:type="dxa"/>
            <w:tcBorders>
              <w:top w:val="nil"/>
              <w:left w:val="single" w:color="000000" w:sz="6" w:space="0"/>
              <w:bottom w:val="single" w:color="000000" w:sz="6" w:space="0"/>
              <w:right w:val="single" w:color="000000" w:sz="6" w:space="0"/>
            </w:tcBorders>
            <w:shd w:val="clear" w:color="auto" w:fill="FFFFFF"/>
            <w:vAlign w:val="top"/>
          </w:tcPr>
          <w:p w14:paraId="46D6FF27">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市场地位（法律）</w:t>
            </w:r>
          </w:p>
        </w:tc>
        <w:tc>
          <w:tcPr>
            <w:tcW w:w="1250" w:type="dxa"/>
            <w:tcBorders>
              <w:top w:val="nil"/>
              <w:left w:val="single" w:color="000000" w:sz="6" w:space="0"/>
              <w:bottom w:val="single" w:color="000000" w:sz="6" w:space="0"/>
              <w:right w:val="single" w:color="000000" w:sz="6" w:space="0"/>
            </w:tcBorders>
            <w:shd w:val="clear" w:color="auto" w:fill="FFFFFF"/>
            <w:vAlign w:val="top"/>
          </w:tcPr>
          <w:p w14:paraId="348ED0E6">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独立</w:t>
            </w:r>
          </w:p>
        </w:tc>
        <w:tc>
          <w:tcPr>
            <w:tcW w:w="5745" w:type="dxa"/>
            <w:tcBorders>
              <w:top w:val="nil"/>
              <w:left w:val="nil"/>
              <w:bottom w:val="single" w:color="000000" w:sz="6" w:space="0"/>
              <w:right w:val="single" w:color="000000" w:sz="6" w:space="0"/>
            </w:tcBorders>
            <w:shd w:val="clear" w:color="auto" w:fill="FFFFFF"/>
            <w:vAlign w:val="top"/>
          </w:tcPr>
          <w:p w14:paraId="51713D85">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每个项目公司仍是独立的法律实体，承担独立的法律责</w:t>
            </w:r>
            <w:r>
              <w:rPr>
                <w:rFonts w:hint="eastAsia" w:ascii="微软雅黑" w:hAnsi="微软雅黑" w:eastAsia="微软雅黑" w:cs="微软雅黑"/>
                <w:i w:val="0"/>
                <w:iCs w:val="0"/>
                <w:caps w:val="0"/>
                <w:color w:val="1F1F1F"/>
                <w:spacing w:val="15"/>
                <w:kern w:val="0"/>
                <w:sz w:val="22"/>
                <w:szCs w:val="22"/>
                <w:lang w:val="en-US" w:eastAsia="zh-CN" w:bidi="ar"/>
              </w:rPr>
              <w:t>任。</w:t>
            </w:r>
          </w:p>
        </w:tc>
      </w:tr>
      <w:tr w14:paraId="351BE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260" w:hRule="atLeast"/>
        </w:trPr>
        <w:tc>
          <w:tcPr>
            <w:tcW w:w="2365" w:type="dxa"/>
            <w:tcBorders>
              <w:top w:val="nil"/>
              <w:left w:val="single" w:color="000000" w:sz="6" w:space="0"/>
              <w:bottom w:val="single" w:color="000000" w:sz="6" w:space="0"/>
              <w:right w:val="single" w:color="000000" w:sz="6" w:space="0"/>
            </w:tcBorders>
            <w:shd w:val="clear" w:color="auto" w:fill="FFFFFF"/>
            <w:vAlign w:val="top"/>
          </w:tcPr>
          <w:p w14:paraId="4F22BA40">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调度关系（物理）</w:t>
            </w:r>
          </w:p>
        </w:tc>
        <w:tc>
          <w:tcPr>
            <w:tcW w:w="1250" w:type="dxa"/>
            <w:tcBorders>
              <w:top w:val="nil"/>
              <w:left w:val="single" w:color="000000" w:sz="6" w:space="0"/>
              <w:bottom w:val="single" w:color="000000" w:sz="6" w:space="0"/>
              <w:right w:val="single" w:color="000000" w:sz="6" w:space="0"/>
            </w:tcBorders>
            <w:shd w:val="clear" w:color="auto" w:fill="FFFFFF"/>
            <w:vAlign w:val="top"/>
          </w:tcPr>
          <w:p w14:paraId="7C6DA211">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独立</w:t>
            </w:r>
          </w:p>
        </w:tc>
        <w:tc>
          <w:tcPr>
            <w:tcW w:w="5745" w:type="dxa"/>
            <w:tcBorders>
              <w:top w:val="nil"/>
              <w:left w:val="nil"/>
              <w:bottom w:val="single" w:color="000000" w:sz="6" w:space="0"/>
              <w:right w:val="single" w:color="000000" w:sz="6" w:space="0"/>
            </w:tcBorders>
            <w:shd w:val="clear" w:color="auto" w:fill="FFFFFF"/>
            <w:vAlign w:val="top"/>
          </w:tcPr>
          <w:p w14:paraId="532962C1">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电网调度中心（AGC系统 ）直接指令下达至具体的物理场站，而非集团中心。</w:t>
            </w:r>
          </w:p>
        </w:tc>
      </w:tr>
      <w:tr w14:paraId="7CBB1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45" w:hRule="atLeast"/>
        </w:trPr>
        <w:tc>
          <w:tcPr>
            <w:tcW w:w="2365" w:type="dxa"/>
            <w:tcBorders>
              <w:top w:val="nil"/>
              <w:left w:val="single" w:color="000000" w:sz="6" w:space="0"/>
              <w:bottom w:val="single" w:color="000000" w:sz="6" w:space="0"/>
              <w:right w:val="single" w:color="000000" w:sz="6" w:space="0"/>
            </w:tcBorders>
            <w:shd w:val="clear" w:color="auto" w:fill="FFFFFF"/>
            <w:vAlign w:val="top"/>
          </w:tcPr>
          <w:p w14:paraId="2749A793">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结算关系（财务 ）</w:t>
            </w:r>
          </w:p>
        </w:tc>
        <w:tc>
          <w:tcPr>
            <w:tcW w:w="1250" w:type="dxa"/>
            <w:tcBorders>
              <w:top w:val="nil"/>
              <w:left w:val="single" w:color="000000" w:sz="6" w:space="0"/>
              <w:bottom w:val="single" w:color="000000" w:sz="6" w:space="0"/>
              <w:right w:val="single" w:color="000000" w:sz="6" w:space="0"/>
            </w:tcBorders>
            <w:shd w:val="clear" w:color="auto" w:fill="FFFFFF"/>
            <w:vAlign w:val="top"/>
          </w:tcPr>
          <w:p w14:paraId="0863DA73">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独立</w:t>
            </w:r>
          </w:p>
        </w:tc>
        <w:tc>
          <w:tcPr>
            <w:tcW w:w="5745" w:type="dxa"/>
            <w:tcBorders>
              <w:top w:val="nil"/>
              <w:left w:val="nil"/>
              <w:bottom w:val="single" w:color="000000" w:sz="6" w:space="0"/>
              <w:right w:val="single" w:color="000000" w:sz="6" w:space="0"/>
            </w:tcBorders>
            <w:shd w:val="clear" w:color="auto" w:fill="FFFFFF"/>
            <w:vAlign w:val="top"/>
          </w:tcPr>
          <w:p w14:paraId="2FA091A7">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eastAsia" w:ascii="微软雅黑" w:hAnsi="微软雅黑" w:eastAsia="微软雅黑" w:cs="微软雅黑"/>
                <w:i w:val="0"/>
                <w:iCs w:val="0"/>
                <w:caps w:val="0"/>
                <w:color w:val="1F1F1F"/>
                <w:spacing w:val="0"/>
                <w:kern w:val="0"/>
                <w:sz w:val="22"/>
                <w:szCs w:val="22"/>
                <w:lang w:val="en-US" w:eastAsia="zh-CN" w:bidi="ar"/>
              </w:rPr>
              <w:t>电费结算单开具给具体项目公司，资金流不经过集团资金池，确保税务合规。</w:t>
            </w:r>
          </w:p>
        </w:tc>
      </w:tr>
    </w:tbl>
    <w:p w14:paraId="3DD0344E">
      <w:pPr>
        <w:rPr>
          <w:rFonts w:hint="eastAsia" w:eastAsia="宋体"/>
          <w:lang w:eastAsia="zh-CN"/>
        </w:rPr>
      </w:pPr>
    </w:p>
    <w:p w14:paraId="0C134214">
      <w:pPr>
        <w:rPr>
          <w:rFonts w:hint="eastAsia" w:eastAsia="宋体"/>
          <w:lang w:eastAsia="zh-CN"/>
        </w:rPr>
      </w:pPr>
    </w:p>
    <w:p w14:paraId="4B88CA81">
      <w:pPr>
        <w:rPr>
          <w:rFonts w:hint="eastAsia" w:eastAsia="宋体"/>
          <w:lang w:eastAsia="zh-CN"/>
        </w:rPr>
      </w:pPr>
      <w:r>
        <w:rPr>
          <w:rFonts w:hint="eastAsia" w:eastAsia="宋体"/>
          <w:lang w:eastAsia="zh-CN"/>
        </w:rPr>
        <w:t>电费结算单开具给具体项目公司，资金流不经过集团资金池，确保税务合规。</w:t>
      </w:r>
    </w:p>
    <w:p w14:paraId="0F9CCE41">
      <w:pPr>
        <w:rPr>
          <w:rFonts w:hint="eastAsia" w:eastAsia="宋体"/>
          <w:lang w:eastAsia="zh-CN"/>
        </w:rPr>
      </w:pPr>
      <w:r>
        <w:rPr>
          <w:rFonts w:hint="eastAsia" w:eastAsia="宋体"/>
          <w:lang w:eastAsia="zh-CN"/>
        </w:rPr>
        <w:t>这种设计极大地降低了改革的阻力。如果要求企业合并资产负债表或变更电力业务许可证，将涉及漫长的资产评估、税务清算和债权人同意程序。而“ 四不改变”仅仅是交易行为的代理，属于轻资产的运营调整。但这也给后续的电量分解（见第5章）留下了巨大的技术难题。</w:t>
      </w:r>
    </w:p>
    <w:p w14:paraId="12BE8E15">
      <w:pPr>
        <w:rPr>
          <w:rFonts w:hint="eastAsia" w:eastAsia="宋体"/>
          <w:lang w:eastAsia="zh-CN"/>
        </w:rPr>
      </w:pPr>
      <w:r>
        <w:rPr>
          <w:rFonts w:hint="eastAsia" w:eastAsia="宋体"/>
          <w:lang w:eastAsia="zh-CN"/>
        </w:rPr>
        <w:t>3.4 严格的程序监管：防范投机</w:t>
      </w:r>
    </w:p>
    <w:p w14:paraId="2D02045F">
      <w:pPr>
        <w:rPr>
          <w:rFonts w:hint="eastAsia" w:eastAsia="宋体"/>
          <w:lang w:eastAsia="zh-CN"/>
        </w:rPr>
      </w:pPr>
      <w:r>
        <w:rPr>
          <w:rFonts w:hint="eastAsia" w:eastAsia="宋体"/>
          <w:lang w:eastAsia="zh-CN"/>
        </w:rPr>
        <w:t>为了防止企业利用规则进行短期的投机性套利，《通知》设置了严格的进出机制。</w:t>
      </w:r>
    </w:p>
    <w:p w14:paraId="40F5E3AC">
      <w:pPr>
        <w:rPr>
          <w:rFonts w:hint="eastAsia" w:eastAsia="宋体"/>
          <w:lang w:eastAsia="zh-CN"/>
        </w:rPr>
      </w:pPr>
      <w:r>
        <w:rPr>
          <w:rFonts w:hint="eastAsia" w:eastAsia="宋体"/>
          <w:lang w:eastAsia="zh-CN"/>
        </w:rPr>
        <w:t>条款解读：“原则上3个月内只能申请退出1次。”</w:t>
      </w:r>
    </w:p>
    <w:p w14:paraId="5F5F5A70">
      <w:pPr>
        <w:rPr>
          <w:rFonts w:hint="eastAsia" w:eastAsia="宋体"/>
          <w:lang w:eastAsia="zh-CN"/>
        </w:rPr>
      </w:pPr>
      <w:r>
        <w:rPr>
          <w:rFonts w:hint="eastAsia" w:eastAsia="宋体"/>
          <w:lang w:eastAsia="zh-CN"/>
        </w:rPr>
        <w:t>●    防止“进进出出”：如果没有时间限制，企业可能会在预计高风速时段“化整为零”各自报价以抢占电量，在低风速时段“化零为整” 以规避考核。3个月的锁定期迫使企业必须基于长期的战略考量而非短期的投机冲动来选择报价模式。</w:t>
      </w:r>
    </w:p>
    <w:p w14:paraId="3CEEA1F4">
      <w:pPr>
        <w:rPr>
          <w:rFonts w:hint="eastAsia" w:eastAsia="宋体"/>
          <w:lang w:eastAsia="zh-CN"/>
        </w:rPr>
      </w:pPr>
      <w:r>
        <w:rPr>
          <w:rFonts w:hint="eastAsia" w:eastAsia="宋体"/>
          <w:lang w:eastAsia="zh-CN"/>
        </w:rPr>
        <w:t>●   信息披露：申请过程需要公示5个工作日，接受全市场的监督。这意味着任何潜在的合谋或不合规的聚合行为都将置于竞争对手的显微镜下 。</w:t>
      </w:r>
    </w:p>
    <w:p w14:paraId="53208E21">
      <w:pPr>
        <w:rPr>
          <w:rFonts w:hint="eastAsia" w:eastAsia="宋体"/>
          <w:lang w:eastAsia="zh-CN"/>
        </w:rPr>
      </w:pPr>
      <w:r>
        <w:rPr>
          <w:rFonts w:hint="eastAsia" w:eastAsia="宋体"/>
          <w:lang w:eastAsia="zh-CN"/>
        </w:rPr>
        <w:t>4. 通俗解读：从“散户摆摊”到“连锁超市”</w:t>
      </w:r>
    </w:p>
    <w:p w14:paraId="77CD0DDA">
      <w:pPr>
        <w:rPr>
          <w:rFonts w:hint="eastAsia" w:eastAsia="宋体"/>
          <w:lang w:eastAsia="zh-CN"/>
        </w:rPr>
      </w:pPr>
      <w:r>
        <w:rPr>
          <w:rFonts w:hint="eastAsia" w:eastAsia="宋体"/>
          <w:lang w:eastAsia="zh-CN"/>
        </w:rPr>
        <w:t>应用户要求，本章节采用通俗易懂的语言，对上述复杂的政策逻辑进行“降维 ”解读，帮助非专业人士理解《通知》的核心精神。</w:t>
      </w:r>
    </w:p>
    <w:p w14:paraId="1C5E6B17">
      <w:pPr>
        <w:rPr>
          <w:rFonts w:hint="eastAsia" w:eastAsia="宋体"/>
          <w:lang w:eastAsia="zh-CN"/>
        </w:rPr>
      </w:pPr>
      <w:r>
        <w:rPr>
          <w:rFonts w:hint="eastAsia" w:eastAsia="宋体"/>
          <w:lang w:eastAsia="zh-CN"/>
        </w:rPr>
        <w:t>4.1核心比喻：菜市场的变革</w:t>
      </w:r>
    </w:p>
    <w:p w14:paraId="49948DFA">
      <w:pPr>
        <w:rPr>
          <w:rFonts w:hint="eastAsia" w:eastAsia="宋体"/>
          <w:lang w:eastAsia="zh-CN"/>
        </w:rPr>
      </w:pPr>
      <w:r>
        <w:rPr>
          <w:rFonts w:hint="eastAsia" w:eastAsia="宋体"/>
          <w:lang w:eastAsia="zh-CN"/>
        </w:rPr>
        <w:t>想象一下， 电力市场就是一个巨大的蔬菜批发市场。</w:t>
      </w:r>
    </w:p>
    <w:p w14:paraId="64C3D2B6">
      <w:pPr>
        <w:rPr>
          <w:rFonts w:hint="eastAsia" w:eastAsia="宋体"/>
          <w:lang w:eastAsia="zh-CN"/>
        </w:rPr>
      </w:pPr>
      <w:r>
        <w:rPr>
          <w:rFonts w:hint="eastAsia" w:eastAsia="宋体"/>
          <w:lang w:eastAsia="zh-CN"/>
        </w:rPr>
        <w:t>●   过去（散户模式）：每一个风电场和光伏电站，无论大小，都像是一个独立的农民。他们每个人都要自己在市场里租一个摊位， 自己吆喝卖菜。</w:t>
      </w:r>
    </w:p>
    <w:p w14:paraId="48385B85">
      <w:pPr>
        <w:rPr>
          <w:rFonts w:hint="eastAsia" w:eastAsia="宋体"/>
          <w:lang w:eastAsia="zh-CN"/>
        </w:rPr>
      </w:pPr>
      <w:r>
        <w:rPr>
          <w:rFonts w:hint="eastAsia" w:eastAsia="宋体"/>
          <w:lang w:eastAsia="zh-CN"/>
        </w:rPr>
        <w:t>○    问题：小农户没有天气预报（缺乏数据）， 不知道明天会不会下雨（光伏没光）， 也不知道隔壁摊位卖多少钱。为了把菜卖出去，大家往往一窝蜂降价，甚至赔本赚吆喝（负电价） 。而且，每个农民都要雇一个人看摊位，成本很高。</w:t>
      </w:r>
    </w:p>
    <w:p w14:paraId="0A6E09C6">
      <w:pPr>
        <w:rPr>
          <w:rFonts w:hint="eastAsia" w:eastAsia="宋体"/>
          <w:lang w:eastAsia="zh-CN"/>
        </w:rPr>
      </w:pPr>
      <w:r>
        <w:rPr>
          <w:rFonts w:hint="eastAsia" w:eastAsia="宋体"/>
          <w:lang w:eastAsia="zh-CN"/>
        </w:rPr>
        <w:t>●   现在（集中报价模式）：政府允许同一个大老板（发电集团 ）底下的所有农户，可以联合起来开一家连锁超市。</w:t>
      </w:r>
    </w:p>
    <w:p w14:paraId="2A4E16AE">
      <w:pPr>
        <w:rPr>
          <w:rFonts w:hint="eastAsia" w:eastAsia="宋体"/>
          <w:lang w:eastAsia="zh-CN"/>
        </w:rPr>
      </w:pPr>
      <w:r>
        <w:rPr>
          <w:rFonts w:hint="eastAsia" w:eastAsia="宋体"/>
          <w:lang w:eastAsia="zh-CN"/>
        </w:rPr>
        <w:t>○   变化：这几十个农户不再需要每个人都去市场。大老板在市场中心租一个大柜台，统一标价，统一接单。</w:t>
      </w:r>
    </w:p>
    <w:p w14:paraId="09CEDA04">
      <w:pPr>
        <w:rPr>
          <w:rFonts w:hint="eastAsia" w:eastAsia="宋体"/>
          <w:lang w:eastAsia="zh-CN"/>
        </w:rPr>
      </w:pPr>
      <w:r>
        <w:rPr>
          <w:rFonts w:hint="eastAsia" w:eastAsia="宋体"/>
          <w:lang w:eastAsia="zh-CN"/>
        </w:rPr>
        <w:t>○    好处：</w:t>
      </w:r>
    </w:p>
    <w:p w14:paraId="31C6E20E">
      <w:pPr>
        <w:rPr>
          <w:rFonts w:hint="eastAsia" w:eastAsia="宋体"/>
          <w:lang w:eastAsia="zh-CN"/>
        </w:rPr>
      </w:pPr>
      <w:r>
        <w:rPr>
          <w:rFonts w:hint="eastAsia" w:eastAsia="宋体"/>
          <w:lang w:eastAsia="zh-CN"/>
        </w:rPr>
        <w:t>1.   省钱：不需要雇几十个销售员了，几个人就能管好大柜台。</w:t>
      </w:r>
    </w:p>
    <w:p w14:paraId="0A5559D4">
      <w:pPr>
        <w:rPr>
          <w:rFonts w:hint="eastAsia" w:eastAsia="宋体"/>
          <w:lang w:eastAsia="zh-CN"/>
        </w:rPr>
      </w:pPr>
      <w:r>
        <w:rPr>
          <w:rFonts w:hint="eastAsia" w:eastAsia="宋体"/>
          <w:lang w:eastAsia="zh-CN"/>
        </w:rPr>
        <w:t>2.   抗风险：如果农户A今天的菜烂在地里了（故障或无风 ），但农户B大丰收，超市可以拿农户B的菜顶上，保证对客户（电网）的供货，避免被罚款。</w:t>
      </w:r>
    </w:p>
    <w:p w14:paraId="31A8E696">
      <w:pPr>
        <w:rPr>
          <w:rFonts w:hint="eastAsia" w:eastAsia="宋体"/>
          <w:lang w:eastAsia="zh-CN"/>
        </w:rPr>
      </w:pPr>
      <w:r>
        <w:rPr>
          <w:rFonts w:hint="eastAsia" w:eastAsia="宋体"/>
          <w:lang w:eastAsia="zh-CN"/>
        </w:rPr>
        <w:t>3.   聪明：大老板有钱买最先进的天气雷达，能更准地预测产量，报价更从容。</w:t>
      </w:r>
    </w:p>
    <w:p w14:paraId="2CF41E5D">
      <w:pPr>
        <w:rPr>
          <w:rFonts w:hint="eastAsia" w:eastAsia="宋体"/>
          <w:lang w:eastAsia="zh-CN"/>
        </w:rPr>
      </w:pPr>
      <w:r>
        <w:rPr>
          <w:rFonts w:hint="eastAsia" w:eastAsia="宋体"/>
          <w:lang w:eastAsia="zh-CN"/>
        </w:rPr>
        <w:t>4.2 “不能做地头蛇”：反垄断的通俗解释</w:t>
      </w:r>
    </w:p>
    <w:p w14:paraId="5C62B39C">
      <w:pPr>
        <w:rPr>
          <w:rFonts w:hint="eastAsia" w:eastAsia="宋体"/>
          <w:lang w:eastAsia="zh-CN"/>
        </w:rPr>
      </w:pPr>
      <w:r>
        <w:rPr>
          <w:rFonts w:hint="eastAsia" w:eastAsia="宋体"/>
          <w:lang w:eastAsia="zh-CN"/>
        </w:rPr>
        <w:t>政府虽然允许你们开超市，但也怕超市太大，把别的卖家挤死，或者随意涨价欺负买家。</w:t>
      </w:r>
    </w:p>
    <w:p w14:paraId="50F00E3E">
      <w:pPr>
        <w:rPr>
          <w:rFonts w:hint="eastAsia" w:eastAsia="宋体"/>
          <w:lang w:eastAsia="zh-CN"/>
        </w:rPr>
      </w:pPr>
      <w:r>
        <w:rPr>
          <w:rFonts w:hint="eastAsia" w:eastAsia="宋体"/>
          <w:lang w:eastAsia="zh-CN"/>
        </w:rPr>
        <w:t>●   规则一（只能带自家兄弟玩）：你只能联合你自己家的农户。不能跟隔壁老王（竞争对手）联合。如果所有卖菜的都联合起来，那价格就你们说了算了，这叫“结党营私”（卡特尔），是违法的。</w:t>
      </w:r>
    </w:p>
    <w:p w14:paraId="2C92A5C2">
      <w:pPr>
        <w:rPr>
          <w:rFonts w:hint="eastAsia" w:eastAsia="宋体"/>
          <w:lang w:eastAsia="zh-CN"/>
        </w:rPr>
      </w:pPr>
      <w:r>
        <w:rPr>
          <w:rFonts w:hint="eastAsia" w:eastAsia="宋体"/>
          <w:lang w:eastAsia="zh-CN"/>
        </w:rPr>
        <w:t>●   规则二（体重限制）：你的超市规模不能太大。具体多大？不能超过咱们省那个最大的“煤老板”（火电厂） 。</w:t>
      </w:r>
    </w:p>
    <w:p w14:paraId="51F731DD">
      <w:pPr>
        <w:rPr>
          <w:rFonts w:hint="eastAsia" w:eastAsia="宋体"/>
          <w:lang w:eastAsia="zh-CN"/>
        </w:rPr>
      </w:pPr>
      <w:r>
        <w:rPr>
          <w:rFonts w:hint="eastAsia" w:eastAsia="宋体"/>
          <w:lang w:eastAsia="zh-CN"/>
        </w:rPr>
        <w:t>○   逻辑：煤老板以前是市场里的老大。政府允许新能源变强，可以和煤老板掰手腕，但不能让你变成比煤老板还大的巨无霸。这叫“不仅要让大象跳舞，还要防止大象踩死蚂蚁”。</w:t>
      </w:r>
    </w:p>
    <w:p w14:paraId="326B0306">
      <w:pPr>
        <w:rPr>
          <w:rFonts w:hint="eastAsia" w:eastAsia="宋体"/>
          <w:lang w:eastAsia="zh-CN"/>
        </w:rPr>
      </w:pPr>
      <w:r>
        <w:rPr>
          <w:rFonts w:hint="eastAsia" w:eastAsia="宋体"/>
          <w:lang w:eastAsia="zh-CN"/>
        </w:rPr>
        <w:t>4.3 “既是整体，又是个人”：最烧脑的部分</w:t>
      </w:r>
    </w:p>
    <w:p w14:paraId="7FCED613">
      <w:pPr>
        <w:rPr>
          <w:rFonts w:hint="eastAsia" w:eastAsia="宋体"/>
          <w:lang w:eastAsia="zh-CN"/>
        </w:rPr>
      </w:pPr>
      <w:r>
        <w:rPr>
          <w:rFonts w:hint="eastAsia" w:eastAsia="宋体"/>
          <w:lang w:eastAsia="zh-CN"/>
        </w:rPr>
        <w:t>这部分是政策最微妙的地方。</w:t>
      </w:r>
    </w:p>
    <w:p w14:paraId="345BB5FA">
      <w:pPr>
        <w:rPr>
          <w:rFonts w:hint="eastAsia" w:eastAsia="宋体"/>
          <w:lang w:eastAsia="zh-CN"/>
        </w:rPr>
      </w:pPr>
      <w:r>
        <w:rPr>
          <w:rFonts w:hint="eastAsia" w:eastAsia="宋体"/>
          <w:lang w:eastAsia="zh-CN"/>
        </w:rPr>
        <w:t>●   报价时：你们是一体的。大老板对市场喊：“我们要卖1000斤菜！”市场答应了。</w:t>
      </w:r>
    </w:p>
    <w:p w14:paraId="3BF0B321">
      <w:pPr>
        <w:rPr>
          <w:rFonts w:hint="eastAsia" w:eastAsia="宋体"/>
          <w:lang w:eastAsia="zh-CN"/>
        </w:rPr>
      </w:pPr>
      <w:r>
        <w:rPr>
          <w:rFonts w:hint="eastAsia" w:eastAsia="宋体"/>
          <w:lang w:eastAsia="zh-CN"/>
        </w:rPr>
        <w:t>●   发货时：市场管理员（调度中心）不会直接找大老板要菜，而是会直接给农户A、农户B发指令：“你出50斤，你出80斤。”</w:t>
      </w:r>
    </w:p>
    <w:p w14:paraId="5EB6CE63">
      <w:pPr>
        <w:rPr>
          <w:rFonts w:hint="eastAsia" w:eastAsia="宋体"/>
          <w:lang w:eastAsia="zh-CN"/>
        </w:rPr>
      </w:pPr>
      <w:r>
        <w:rPr>
          <w:rFonts w:hint="eastAsia" w:eastAsia="宋体"/>
          <w:lang w:eastAsia="zh-CN"/>
        </w:rPr>
        <w:t>●   收钱时：买家（电网）结账的时候，也是直接把钱打到农户A和农户B的各自账户里，而不是打给大老板。</w:t>
      </w:r>
    </w:p>
    <w:p w14:paraId="4985168D">
      <w:pPr>
        <w:rPr>
          <w:rFonts w:hint="eastAsia" w:eastAsia="宋体"/>
          <w:lang w:eastAsia="zh-CN"/>
        </w:rPr>
      </w:pPr>
      <w:r>
        <w:rPr>
          <w:rFonts w:hint="eastAsia" w:eastAsia="宋体"/>
          <w:lang w:eastAsia="zh-CN"/>
        </w:rPr>
        <w:t>○    为什么？ 因为农户A和农户B虽然是一个老板，但他们可能欠了不同银行的钱，交税也是交给不同的县政府。账目必须分得清清楚楚，亲兄弟明算账。</w:t>
      </w:r>
    </w:p>
    <w:p w14:paraId="0D710EC2">
      <w:pPr>
        <w:rPr>
          <w:rFonts w:hint="eastAsia" w:eastAsia="宋体"/>
          <w:lang w:eastAsia="zh-CN"/>
        </w:rPr>
      </w:pPr>
      <w:r>
        <w:rPr>
          <w:rFonts w:hint="eastAsia" w:eastAsia="宋体"/>
          <w:lang w:eastAsia="zh-CN"/>
        </w:rPr>
        <w:t>4.4 对老百姓和行业的影响</w:t>
      </w:r>
    </w:p>
    <w:p w14:paraId="1E1BACB2">
      <w:pPr>
        <w:rPr>
          <w:rFonts w:hint="eastAsia" w:eastAsia="宋体"/>
          <w:lang w:eastAsia="zh-CN"/>
        </w:rPr>
      </w:pPr>
      <w:r>
        <w:rPr>
          <w:rFonts w:hint="eastAsia" w:eastAsia="宋体"/>
          <w:lang w:eastAsia="zh-CN"/>
        </w:rPr>
        <w:t>●   对企业：不用再为每个小电站养一堆闲人了，运营成本大幅下降。面对市场波动，腰杆更硬了。</w:t>
      </w:r>
    </w:p>
    <w:p w14:paraId="2BBEAF20">
      <w:pPr>
        <w:rPr>
          <w:rFonts w:hint="eastAsia" w:eastAsia="宋体"/>
          <w:lang w:eastAsia="zh-CN"/>
        </w:rPr>
      </w:pPr>
      <w:r>
        <w:rPr>
          <w:rFonts w:hint="eastAsia" w:eastAsia="宋体"/>
          <w:lang w:eastAsia="zh-CN"/>
        </w:rPr>
        <w:t>●   对电网：以前要对接几百个乱报价的小散户，头都大了。现在对接几个专业的“超市经理” ，沟通效率更高， 电网运行更安全。</w:t>
      </w:r>
    </w:p>
    <w:p w14:paraId="6C59B653">
      <w:pPr>
        <w:rPr>
          <w:rFonts w:hint="eastAsia" w:eastAsia="宋体"/>
          <w:lang w:eastAsia="zh-CN"/>
        </w:rPr>
      </w:pPr>
      <w:r>
        <w:rPr>
          <w:rFonts w:hint="eastAsia" w:eastAsia="宋体"/>
          <w:lang w:eastAsia="zh-CN"/>
        </w:rPr>
        <w:t>●   对我们（用户 ）：虽然电费单上看不出来，但这种机制能让新能源企业活得更健康，减少浪费（弃风弃光）， 长远来看，我们能用上更多、更稳定的绿色电力。</w:t>
      </w:r>
    </w:p>
    <w:p w14:paraId="53027D4E">
      <w:pPr>
        <w:rPr>
          <w:rFonts w:hint="eastAsia" w:eastAsia="宋体"/>
          <w:lang w:eastAsia="zh-CN"/>
        </w:rPr>
      </w:pPr>
    </w:p>
    <w:p w14:paraId="088FE16A">
      <w:pPr>
        <w:rPr>
          <w:rFonts w:hint="eastAsia" w:eastAsia="宋体"/>
          <w:lang w:eastAsia="zh-CN"/>
        </w:rPr>
      </w:pPr>
      <w:r>
        <w:rPr>
          <w:rFonts w:hint="eastAsia" w:eastAsia="宋体"/>
          <w:lang w:eastAsia="zh-CN"/>
        </w:rPr>
        <w:t>5. 机制深潜：技术实现与运营挑战</w:t>
      </w:r>
    </w:p>
    <w:p w14:paraId="33EA7188">
      <w:pPr>
        <w:rPr>
          <w:rFonts w:hint="eastAsia" w:eastAsia="宋体"/>
          <w:lang w:eastAsia="zh-CN"/>
        </w:rPr>
      </w:pPr>
      <w:r>
        <w:rPr>
          <w:rFonts w:hint="eastAsia" w:eastAsia="宋体"/>
          <w:lang w:eastAsia="zh-CN"/>
        </w:rPr>
        <w:t>《通知》虽然只有寥寥数千字，但其落地执行却涉及极其复杂的底层逻辑重构，特别是在计划分解、调度算法和内部结算三个维度。</w:t>
      </w:r>
    </w:p>
    <w:p w14:paraId="50079084">
      <w:pPr>
        <w:rPr>
          <w:rFonts w:hint="eastAsia" w:eastAsia="宋体"/>
          <w:lang w:eastAsia="zh-CN"/>
        </w:rPr>
      </w:pPr>
      <w:r>
        <w:rPr>
          <w:rFonts w:hint="eastAsia" w:eastAsia="宋体"/>
          <w:lang w:eastAsia="zh-CN"/>
        </w:rPr>
        <w:t>5.1 计划分解算法（Disaggregation Logic）：从1到N的难题</w:t>
      </w:r>
    </w:p>
    <w:p w14:paraId="16993088">
      <w:pPr>
        <w:rPr>
          <w:rFonts w:hint="eastAsia" w:eastAsia="宋体"/>
          <w:lang w:eastAsia="zh-CN"/>
        </w:rPr>
      </w:pPr>
      <w:r>
        <w:rPr>
          <w:rFonts w:hint="eastAsia" w:eastAsia="宋体"/>
          <w:lang w:eastAsia="zh-CN"/>
        </w:rPr>
        <w:t>当一个集中报价实体（假设包含10个光伏电站，总容量1000MW）在现货市场中标800MW时，系统必须将这800MW的发电计划“反向分解”给这10个物理电站。这并非简单的平均分配，而是一个多变量约束的优化问题。</w:t>
      </w:r>
    </w:p>
    <w:p w14:paraId="6CB6FDD8">
      <w:pPr>
        <w:rPr>
          <w:rFonts w:hint="eastAsia" w:eastAsia="宋体"/>
          <w:lang w:eastAsia="zh-CN"/>
        </w:rPr>
      </w:pPr>
      <w:r>
        <w:rPr>
          <w:rFonts w:hint="eastAsia" w:eastAsia="宋体"/>
          <w:lang w:eastAsia="zh-CN"/>
        </w:rPr>
        <w:t>5.1.1 分解原则的博弈</w:t>
      </w:r>
    </w:p>
    <w:p w14:paraId="44C23EB0">
      <w:pPr>
        <w:rPr>
          <w:rFonts w:hint="eastAsia" w:eastAsia="宋体"/>
          <w:lang w:eastAsia="zh-CN"/>
        </w:rPr>
      </w:pPr>
      <w:r>
        <w:rPr>
          <w:rFonts w:hint="eastAsia" w:eastAsia="宋体"/>
          <w:lang w:eastAsia="zh-CN"/>
        </w:rPr>
        <w:t>●   按容量比例分配（Pro-rata）：这是最简单的方式。如果电站A占总容量的10%，就分配80MW。</w:t>
      </w:r>
    </w:p>
    <w:p w14:paraId="7576AB44">
      <w:pPr>
        <w:rPr>
          <w:rFonts w:hint="eastAsia" w:eastAsia="宋体"/>
          <w:lang w:eastAsia="zh-CN"/>
        </w:rPr>
      </w:pPr>
      <w:r>
        <w:rPr>
          <w:rFonts w:hint="eastAsia" w:eastAsia="宋体"/>
          <w:lang w:eastAsia="zh-CN"/>
        </w:rPr>
        <w:t>○   缺陷：忽略了微观气象差异。可能电站A此时正好有一片云遮挡，根本发不出80MW；而电站B阳光普照却被限制了出力。这会导致整体违约。</w:t>
      </w:r>
    </w:p>
    <w:p w14:paraId="474D5471">
      <w:pPr>
        <w:rPr>
          <w:rFonts w:hint="eastAsia" w:eastAsia="宋体"/>
          <w:lang w:eastAsia="zh-CN"/>
        </w:rPr>
      </w:pPr>
      <w:r>
        <w:rPr>
          <w:rFonts w:hint="eastAsia" w:eastAsia="宋体"/>
          <w:lang w:eastAsia="zh-CN"/>
        </w:rPr>
        <w:t>●   按预测能力分配：基于超短期功率预测，谁能发多少就分多少。</w:t>
      </w:r>
    </w:p>
    <w:p w14:paraId="0EABE641">
      <w:pPr>
        <w:rPr>
          <w:rFonts w:hint="eastAsia" w:eastAsia="宋体"/>
          <w:lang w:eastAsia="zh-CN"/>
        </w:rPr>
      </w:pPr>
      <w:r>
        <w:rPr>
          <w:rFonts w:hint="eastAsia" w:eastAsia="宋体"/>
          <w:lang w:eastAsia="zh-CN"/>
        </w:rPr>
        <w:t>○   缺陷：预测本身存在误差。</w:t>
      </w:r>
    </w:p>
    <w:p w14:paraId="5C554D94">
      <w:pPr>
        <w:rPr>
          <w:rFonts w:hint="eastAsia" w:eastAsia="宋体"/>
          <w:lang w:eastAsia="zh-CN"/>
        </w:rPr>
      </w:pPr>
      <w:r>
        <w:rPr>
          <w:rFonts w:hint="eastAsia" w:eastAsia="宋体"/>
          <w:lang w:eastAsia="zh-CN"/>
        </w:rPr>
        <w:t>●   按网络约束分配（SCED）：这是最符合电网物理特性的方式。如果电站A所在的输电断面阻塞 ,  由于物理限制，只能少分或不分。</w:t>
      </w:r>
    </w:p>
    <w:p w14:paraId="06F5D5B9">
      <w:pPr>
        <w:rPr>
          <w:rFonts w:hint="eastAsia" w:eastAsia="宋体"/>
          <w:lang w:eastAsia="zh-CN"/>
        </w:rPr>
      </w:pPr>
      <w:r>
        <w:rPr>
          <w:rFonts w:hint="eastAsia" w:eastAsia="宋体"/>
          <w:lang w:eastAsia="zh-CN"/>
        </w:rPr>
        <w:t>○   挑战：这种分配实际上将部分调度权交还给了电网。《通知》并未明确这一分解算法的具体细则，这是各地实施细则（如甘肃、山西规则 ）必须填补的空白 。如果处理不好，会出现“集团想让A发， 电网只能让B发” 的指令冲突。</w:t>
      </w:r>
    </w:p>
    <w:p w14:paraId="28C0A39D">
      <w:pPr>
        <w:rPr>
          <w:rFonts w:hint="eastAsia" w:eastAsia="宋体"/>
          <w:lang w:eastAsia="zh-CN"/>
        </w:rPr>
      </w:pPr>
      <w:r>
        <w:rPr>
          <w:rFonts w:hint="eastAsia" w:eastAsia="宋体"/>
          <w:lang w:eastAsia="zh-CN"/>
        </w:rPr>
        <w:t>5.2 偏差结算与内部转移定价</w:t>
      </w:r>
    </w:p>
    <w:p w14:paraId="07BBE87F">
      <w:pPr>
        <w:rPr>
          <w:rFonts w:hint="eastAsia" w:eastAsia="宋体"/>
          <w:lang w:eastAsia="zh-CN"/>
        </w:rPr>
      </w:pPr>
      <w:r>
        <w:rPr>
          <w:rFonts w:hint="eastAsia" w:eastAsia="宋体"/>
          <w:lang w:eastAsia="zh-CN"/>
        </w:rPr>
        <w:t>在“独立结算”原则下，财务流必须跟随物理流。</w:t>
      </w:r>
    </w:p>
    <w:p w14:paraId="7090CFAD">
      <w:pPr>
        <w:rPr>
          <w:rFonts w:hint="eastAsia" w:eastAsia="宋体"/>
          <w:lang w:eastAsia="zh-CN"/>
        </w:rPr>
      </w:pPr>
      <w:r>
        <w:rPr>
          <w:rFonts w:hint="eastAsia" w:eastAsia="宋体"/>
          <w:lang w:eastAsia="zh-CN"/>
        </w:rPr>
        <w:t>●   场景推演：集团中标800MW。</w:t>
      </w:r>
    </w:p>
    <w:p w14:paraId="59608A04">
      <w:pPr>
        <w:rPr>
          <w:rFonts w:hint="eastAsia" w:eastAsia="宋体"/>
          <w:lang w:eastAsia="zh-CN"/>
        </w:rPr>
      </w:pPr>
      <w:r>
        <w:rPr>
          <w:rFonts w:hint="eastAsia" w:eastAsia="宋体"/>
          <w:lang w:eastAsia="zh-CN"/>
        </w:rPr>
        <w:t>○    计划： 电站A应发400MW， 电站B应发400MW。</w:t>
      </w:r>
    </w:p>
    <w:p w14:paraId="2CEF464F">
      <w:pPr>
        <w:rPr>
          <w:rFonts w:hint="eastAsia" w:eastAsia="宋体"/>
          <w:lang w:eastAsia="zh-CN"/>
        </w:rPr>
      </w:pPr>
      <w:r>
        <w:rPr>
          <w:rFonts w:hint="eastAsia" w:eastAsia="宋体"/>
          <w:lang w:eastAsia="zh-CN"/>
        </w:rPr>
        <w:t>○   实际： 电站A故障只发了200MW， 电站B超发至600MW（假设有能力） 。</w:t>
      </w:r>
    </w:p>
    <w:p w14:paraId="62A16876">
      <w:pPr>
        <w:rPr>
          <w:rFonts w:hint="eastAsia" w:eastAsia="宋体"/>
          <w:lang w:eastAsia="zh-CN"/>
        </w:rPr>
      </w:pPr>
      <w:r>
        <w:rPr>
          <w:rFonts w:hint="eastAsia" w:eastAsia="宋体"/>
          <w:lang w:eastAsia="zh-CN"/>
        </w:rPr>
        <w:t>○   集团整体：完成了800MW，无偏差罚款。</w:t>
      </w:r>
    </w:p>
    <w:p w14:paraId="59F88268">
      <w:pPr>
        <w:rPr>
          <w:rFonts w:hint="eastAsia" w:eastAsia="宋体"/>
          <w:lang w:eastAsia="zh-CN"/>
        </w:rPr>
      </w:pPr>
      <w:r>
        <w:rPr>
          <w:rFonts w:hint="eastAsia" w:eastAsia="宋体"/>
          <w:lang w:eastAsia="zh-CN"/>
        </w:rPr>
        <w:t>○   个体视角：在旧模式下，A要被罚死，B要被奖励（或被限制） 。</w:t>
      </w:r>
    </w:p>
    <w:p w14:paraId="53B9CE9B">
      <w:pPr>
        <w:rPr>
          <w:rFonts w:hint="eastAsia" w:eastAsia="宋体"/>
          <w:lang w:eastAsia="zh-CN"/>
        </w:rPr>
      </w:pPr>
      <w:r>
        <w:rPr>
          <w:rFonts w:hint="eastAsia" w:eastAsia="宋体"/>
          <w:lang w:eastAsia="zh-CN"/>
        </w:rPr>
        <w:t>○   新模式下：如何在财务报表上体现B帮A“扛” 了200MW的任务 ？</w:t>
      </w:r>
    </w:p>
    <w:p w14:paraId="5FE4FFC2">
      <w:pPr>
        <w:rPr>
          <w:rFonts w:hint="eastAsia" w:eastAsia="宋体"/>
          <w:lang w:eastAsia="zh-CN"/>
        </w:rPr>
      </w:pPr>
      <w:r>
        <w:rPr>
          <w:rFonts w:hint="eastAsia" w:eastAsia="宋体"/>
          <w:lang w:eastAsia="zh-CN"/>
        </w:rPr>
        <w:t>●  内部结算机制：集团内部必须建立一套影子价格体系（Shadow Pricing）。 电站A虽然少发了  , 但在账面上可能需要向电站B支付一笔“代发补偿费”。由于电站A和B可能有不同的少数股东（如地方国资参股）， 这种内部转移支付必须极其透明且符合审计要求，否则将引发股东纠纷 。</w:t>
      </w:r>
    </w:p>
    <w:p w14:paraId="25FB0AA0">
      <w:pPr>
        <w:rPr>
          <w:rFonts w:hint="eastAsia" w:eastAsia="宋体"/>
          <w:lang w:eastAsia="zh-CN"/>
        </w:rPr>
      </w:pPr>
      <w:r>
        <w:rPr>
          <w:rFonts w:hint="eastAsia" w:eastAsia="宋体"/>
          <w:lang w:eastAsia="zh-CN"/>
        </w:rPr>
        <w:t>5.3 物理隔离与信息防火墙</w:t>
      </w:r>
    </w:p>
    <w:p w14:paraId="356541B2">
      <w:pPr>
        <w:rPr>
          <w:rFonts w:hint="eastAsia" w:eastAsia="宋体"/>
          <w:lang w:eastAsia="zh-CN"/>
        </w:rPr>
      </w:pPr>
      <w:r>
        <w:rPr>
          <w:rFonts w:hint="eastAsia" w:eastAsia="宋体"/>
          <w:lang w:eastAsia="zh-CN"/>
        </w:rPr>
        <w:t>《通知》特别强调了人员、资产和财务等方面严格与本集团其他发售电业务相隔离  。</w:t>
      </w:r>
    </w:p>
    <w:p w14:paraId="0F0DB933">
      <w:pPr>
        <w:rPr>
          <w:rFonts w:hint="eastAsia" w:eastAsia="宋体"/>
          <w:lang w:eastAsia="zh-CN"/>
        </w:rPr>
      </w:pPr>
      <w:r>
        <w:rPr>
          <w:rFonts w:hint="eastAsia" w:eastAsia="宋体"/>
          <w:lang w:eastAsia="zh-CN"/>
        </w:rPr>
        <w:t>●   背景：大型发电集团通常也拥有售电公司（Retailer）。如果发电侧报价团队（希望高价）与售电侧代理团队（希望低价）互通信息，或者联合操纵价格（如发电侧故意压价让售电侧低价买入，再高价卖给用户 ），将构成严重的内幕交易。</w:t>
      </w:r>
    </w:p>
    <w:p w14:paraId="75A003DC">
      <w:pPr>
        <w:rPr>
          <w:rFonts w:hint="eastAsia" w:eastAsia="宋体"/>
          <w:lang w:eastAsia="zh-CN"/>
        </w:rPr>
      </w:pPr>
      <w:r>
        <w:rPr>
          <w:rFonts w:hint="eastAsia" w:eastAsia="宋体"/>
          <w:lang w:eastAsia="zh-CN"/>
        </w:rPr>
        <w:t>●    IT实现：企业必须在IT系统中设置严格的权限管理（ACL）， 物理上甚至要求办公场所隔离。监管机构未来可能会通过检查IP地址、通话记录等方式来审计这种隔离的有效性。</w:t>
      </w:r>
    </w:p>
    <w:p w14:paraId="3B7412D4">
      <w:pPr>
        <w:rPr>
          <w:rFonts w:hint="eastAsia" w:eastAsia="宋体"/>
          <w:lang w:eastAsia="zh-CN"/>
        </w:rPr>
      </w:pPr>
      <w:r>
        <w:rPr>
          <w:rFonts w:hint="eastAsia" w:eastAsia="宋体"/>
          <w:lang w:eastAsia="zh-CN"/>
        </w:rPr>
        <w:t>6.经济学与战略影响分析</w:t>
      </w:r>
    </w:p>
    <w:p w14:paraId="3924A927">
      <w:pPr>
        <w:rPr>
          <w:rFonts w:hint="eastAsia" w:eastAsia="宋体"/>
          <w:lang w:eastAsia="zh-CN"/>
        </w:rPr>
      </w:pPr>
      <w:r>
        <w:rPr>
          <w:rFonts w:hint="eastAsia" w:eastAsia="宋体"/>
          <w:lang w:eastAsia="zh-CN"/>
        </w:rPr>
        <w:t>本章节将运用产业组织理论（Industrial Organization）和博弈论，深入分析《通知》对市场结构和企业战略的重塑。</w:t>
      </w:r>
    </w:p>
    <w:p w14:paraId="1393EAFC">
      <w:pPr>
        <w:rPr>
          <w:rFonts w:hint="eastAsia" w:eastAsia="宋体"/>
          <w:lang w:eastAsia="zh-CN"/>
        </w:rPr>
      </w:pPr>
      <w:r>
        <w:rPr>
          <w:rFonts w:hint="eastAsia" w:eastAsia="宋体"/>
          <w:lang w:eastAsia="zh-CN"/>
        </w:rPr>
        <w:t>6.1 市场力（Market Power）的重构与HHI指数</w:t>
      </w:r>
    </w:p>
    <w:p w14:paraId="2EC8B2F6">
      <w:pPr>
        <w:rPr>
          <w:rFonts w:hint="eastAsia" w:eastAsia="宋体"/>
          <w:lang w:eastAsia="zh-CN"/>
        </w:rPr>
      </w:pPr>
      <w:r>
        <w:rPr>
          <w:rFonts w:hint="eastAsia" w:eastAsia="宋体"/>
          <w:lang w:eastAsia="zh-CN"/>
        </w:rPr>
        <w:t>引入集中报价后，省级电力市场的结构将发生剧变。</w:t>
      </w:r>
    </w:p>
    <w:p w14:paraId="5443A7C0">
      <w:pPr>
        <w:rPr>
          <w:rFonts w:hint="eastAsia" w:eastAsia="宋体"/>
          <w:lang w:eastAsia="zh-CN"/>
        </w:rPr>
      </w:pPr>
      <w:r>
        <w:rPr>
          <w:rFonts w:hint="eastAsia" w:eastAsia="宋体"/>
          <w:lang w:eastAsia="zh-CN"/>
        </w:rPr>
        <w:t>●    HHI指数上升：赫芬达尔—赫希曼指数（HHI）是各市场主体市场份额平方之和。随着小散户聚合为大集团，HHI指数必然上升，市场集中度增加。</w:t>
      </w:r>
    </w:p>
    <w:p w14:paraId="40905766">
      <w:pPr>
        <w:rPr>
          <w:rFonts w:hint="eastAsia" w:eastAsia="宋体"/>
          <w:lang w:eastAsia="zh-CN"/>
        </w:rPr>
      </w:pPr>
      <w:r>
        <w:rPr>
          <w:rFonts w:hint="eastAsia" w:eastAsia="宋体"/>
          <w:lang w:eastAsia="zh-CN"/>
        </w:rPr>
        <w:t>●   有效竞争的边界：虽然集中度增加，但通过“最大煤电厂” 的上限约束，监管层试图将市场维持在“寡头竞争”（Oligopoly）而非“垄断”（Monopoly）的状态。</w:t>
      </w:r>
    </w:p>
    <w:p w14:paraId="0D56CE57">
      <w:pPr>
        <w:rPr>
          <w:rFonts w:hint="eastAsia" w:eastAsia="宋体"/>
          <w:lang w:eastAsia="zh-CN"/>
        </w:rPr>
      </w:pPr>
      <w:r>
        <w:rPr>
          <w:rFonts w:hint="eastAsia" w:eastAsia="宋体"/>
          <w:lang w:eastAsia="zh-CN"/>
        </w:rPr>
        <w:t>○   表格：集中报价前后的市场结构对比（假设模型）</w:t>
      </w:r>
    </w:p>
    <w:p w14:paraId="35BE247C">
      <w:pPr>
        <w:rPr>
          <w:rFonts w:hint="eastAsia" w:eastAsia="宋体"/>
          <w:lang w:eastAsia="zh-CN"/>
        </w:rPr>
      </w:pPr>
    </w:p>
    <w:tbl>
      <w:tblPr>
        <w:tblStyle w:val="10"/>
        <w:tblW w:w="103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90"/>
        <w:gridCol w:w="2388"/>
        <w:gridCol w:w="2550"/>
        <w:gridCol w:w="3800"/>
      </w:tblGrid>
      <w:tr w14:paraId="25707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590" w:type="dxa"/>
            <w:tcBorders>
              <w:top w:val="single" w:color="auto" w:sz="6" w:space="0"/>
              <w:left w:val="single" w:color="auto" w:sz="6" w:space="0"/>
              <w:bottom w:val="single" w:color="auto" w:sz="6" w:space="0"/>
              <w:right w:val="single" w:color="auto" w:sz="6" w:space="0"/>
            </w:tcBorders>
            <w:shd w:val="clear" w:color="auto" w:fill="FFFFFF"/>
            <w:vAlign w:val="center"/>
          </w:tcPr>
          <w:p w14:paraId="7CE9DBF6">
            <w:pPr>
              <w:keepNext w:val="0"/>
              <w:keepLines w:val="0"/>
              <w:widowControl/>
              <w:suppressLineNumbers w:val="0"/>
              <w:wordWrap w:val="0"/>
              <w:spacing w:before="0" w:beforeAutospacing="0" w:after="0" w:afterAutospacing="0"/>
              <w:ind w:left="0" w:right="0"/>
              <w:jc w:val="left"/>
              <w:rPr>
                <w:rFonts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指标</w:t>
            </w:r>
          </w:p>
        </w:tc>
        <w:tc>
          <w:tcPr>
            <w:tcW w:w="2388" w:type="dxa"/>
            <w:tcBorders>
              <w:top w:val="single" w:color="auto" w:sz="6" w:space="0"/>
              <w:left w:val="nil"/>
              <w:bottom w:val="single" w:color="auto" w:sz="6" w:space="0"/>
              <w:right w:val="single" w:color="auto" w:sz="6" w:space="0"/>
            </w:tcBorders>
            <w:shd w:val="clear" w:color="auto" w:fill="FFFFFF"/>
            <w:vAlign w:val="center"/>
          </w:tcPr>
          <w:p w14:paraId="587C57AE">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改革前（散户模式）</w:t>
            </w:r>
          </w:p>
        </w:tc>
        <w:tc>
          <w:tcPr>
            <w:tcW w:w="2550" w:type="dxa"/>
            <w:tcBorders>
              <w:top w:val="single" w:color="auto" w:sz="6" w:space="0"/>
              <w:left w:val="nil"/>
              <w:bottom w:val="single" w:color="auto" w:sz="6" w:space="0"/>
              <w:right w:val="single" w:color="auto" w:sz="6" w:space="0"/>
            </w:tcBorders>
            <w:shd w:val="clear" w:color="auto" w:fill="FFFFFF"/>
            <w:vAlign w:val="center"/>
          </w:tcPr>
          <w:p w14:paraId="7F958782">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改革后（集中报价模式）</w:t>
            </w:r>
          </w:p>
        </w:tc>
        <w:tc>
          <w:tcPr>
            <w:tcW w:w="3800" w:type="dxa"/>
            <w:tcBorders>
              <w:top w:val="single" w:color="auto" w:sz="6" w:space="0"/>
              <w:left w:val="nil"/>
              <w:bottom w:val="single" w:color="auto" w:sz="6" w:space="0"/>
              <w:right w:val="single" w:color="auto" w:sz="6" w:space="0"/>
            </w:tcBorders>
            <w:shd w:val="clear" w:color="auto" w:fill="FFFFFF"/>
            <w:vAlign w:val="center"/>
          </w:tcPr>
          <w:p w14:paraId="3D013526">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经济学影响</w:t>
            </w:r>
          </w:p>
        </w:tc>
      </w:tr>
      <w:tr w14:paraId="5733F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590" w:type="dxa"/>
            <w:tcBorders>
              <w:top w:val="nil"/>
              <w:left w:val="single" w:color="auto" w:sz="6" w:space="0"/>
              <w:bottom w:val="single" w:color="auto" w:sz="6" w:space="0"/>
              <w:right w:val="single" w:color="auto" w:sz="6" w:space="0"/>
            </w:tcBorders>
            <w:shd w:val="clear" w:color="auto" w:fill="FFFFFF"/>
            <w:vAlign w:val="center"/>
          </w:tcPr>
          <w:p w14:paraId="65C4A3B5">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主体数量</w:t>
            </w:r>
          </w:p>
        </w:tc>
        <w:tc>
          <w:tcPr>
            <w:tcW w:w="2388" w:type="dxa"/>
            <w:tcBorders>
              <w:top w:val="nil"/>
              <w:left w:val="nil"/>
              <w:bottom w:val="single" w:color="auto" w:sz="6" w:space="0"/>
              <w:right w:val="single" w:color="auto" w:sz="6" w:space="0"/>
            </w:tcBorders>
            <w:shd w:val="clear" w:color="auto" w:fill="FFFFFF"/>
            <w:vAlign w:val="center"/>
          </w:tcPr>
          <w:p w14:paraId="715AF172">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15"/>
                <w:kern w:val="0"/>
                <w:sz w:val="21"/>
                <w:szCs w:val="21"/>
                <w:lang w:val="en-US" w:eastAsia="zh-CN" w:bidi="ar"/>
              </w:rPr>
              <w:t>极多（N &gt; 100）</w:t>
            </w:r>
          </w:p>
        </w:tc>
        <w:tc>
          <w:tcPr>
            <w:tcW w:w="2550" w:type="dxa"/>
            <w:tcBorders>
              <w:top w:val="nil"/>
              <w:left w:val="nil"/>
              <w:bottom w:val="single" w:color="auto" w:sz="6" w:space="0"/>
              <w:right w:val="single" w:color="auto" w:sz="6" w:space="0"/>
            </w:tcBorders>
            <w:shd w:val="clear" w:color="auto" w:fill="FFFFFF"/>
            <w:vAlign w:val="center"/>
          </w:tcPr>
          <w:p w14:paraId="4143CD07">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15"/>
                <w:kern w:val="0"/>
                <w:sz w:val="21"/>
                <w:szCs w:val="21"/>
                <w:lang w:val="en-US" w:eastAsia="zh-CN" w:bidi="ar"/>
              </w:rPr>
              <w:t>较少（N ≈ 10-20）</w:t>
            </w:r>
          </w:p>
        </w:tc>
        <w:tc>
          <w:tcPr>
            <w:tcW w:w="3800" w:type="dxa"/>
            <w:tcBorders>
              <w:top w:val="nil"/>
              <w:left w:val="nil"/>
              <w:bottom w:val="single" w:color="auto" w:sz="6" w:space="0"/>
              <w:right w:val="single" w:color="auto" w:sz="6" w:space="0"/>
            </w:tcBorders>
            <w:shd w:val="clear" w:color="auto" w:fill="FFFFFF"/>
            <w:vAlign w:val="center"/>
          </w:tcPr>
          <w:p w14:paraId="64EF385E">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协调成本降低，监管难度降低。</w:t>
            </w:r>
          </w:p>
        </w:tc>
      </w:tr>
      <w:tr w14:paraId="14BFC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590" w:type="dxa"/>
            <w:tcBorders>
              <w:top w:val="nil"/>
              <w:left w:val="single" w:color="auto" w:sz="6" w:space="0"/>
              <w:bottom w:val="single" w:color="auto" w:sz="6" w:space="0"/>
              <w:right w:val="single" w:color="auto" w:sz="6" w:space="0"/>
            </w:tcBorders>
            <w:shd w:val="clear" w:color="auto" w:fill="FFFFFF"/>
            <w:vAlign w:val="center"/>
          </w:tcPr>
          <w:p w14:paraId="094BAC7C">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单个主体份额</w:t>
            </w:r>
          </w:p>
        </w:tc>
        <w:tc>
          <w:tcPr>
            <w:tcW w:w="2388" w:type="dxa"/>
            <w:tcBorders>
              <w:top w:val="nil"/>
              <w:left w:val="nil"/>
              <w:bottom w:val="single" w:color="auto" w:sz="6" w:space="0"/>
              <w:right w:val="single" w:color="auto" w:sz="6" w:space="0"/>
            </w:tcBorders>
            <w:shd w:val="clear" w:color="auto" w:fill="FFFFFF"/>
            <w:vAlign w:val="center"/>
          </w:tcPr>
          <w:p w14:paraId="566524B3">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15"/>
                <w:kern w:val="0"/>
                <w:sz w:val="21"/>
                <w:szCs w:val="21"/>
                <w:lang w:val="en-US" w:eastAsia="zh-CN" w:bidi="ar"/>
              </w:rPr>
              <w:t>极小（&lt; 1%）</w:t>
            </w:r>
          </w:p>
        </w:tc>
        <w:tc>
          <w:tcPr>
            <w:tcW w:w="2550" w:type="dxa"/>
            <w:tcBorders>
              <w:top w:val="nil"/>
              <w:left w:val="nil"/>
              <w:bottom w:val="single" w:color="auto" w:sz="6" w:space="0"/>
              <w:right w:val="single" w:color="auto" w:sz="6" w:space="0"/>
            </w:tcBorders>
            <w:shd w:val="clear" w:color="auto" w:fill="FFFFFF"/>
            <w:vAlign w:val="center"/>
          </w:tcPr>
          <w:p w14:paraId="4DEAF23B">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15"/>
                <w:kern w:val="0"/>
                <w:sz w:val="21"/>
                <w:szCs w:val="21"/>
                <w:lang w:val="en-US" w:eastAsia="zh-CN" w:bidi="ar"/>
              </w:rPr>
              <w:t>中等（5%-15%）</w:t>
            </w:r>
          </w:p>
        </w:tc>
        <w:tc>
          <w:tcPr>
            <w:tcW w:w="3800" w:type="dxa"/>
            <w:tcBorders>
              <w:top w:val="nil"/>
              <w:left w:val="nil"/>
              <w:bottom w:val="single" w:color="auto" w:sz="6" w:space="0"/>
              <w:right w:val="single" w:color="auto" w:sz="6" w:space="0"/>
            </w:tcBorders>
            <w:shd w:val="clear" w:color="auto" w:fill="FFFFFF"/>
            <w:vAlign w:val="center"/>
          </w:tcPr>
          <w:p w14:paraId="5C5BD820">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具备了一定的定价权（PriceMaker）。</w:t>
            </w:r>
          </w:p>
        </w:tc>
      </w:tr>
      <w:tr w14:paraId="67637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590" w:type="dxa"/>
            <w:tcBorders>
              <w:top w:val="nil"/>
              <w:left w:val="single" w:color="auto" w:sz="6" w:space="0"/>
              <w:bottom w:val="single" w:color="auto" w:sz="6" w:space="0"/>
              <w:right w:val="single" w:color="auto" w:sz="6" w:space="0"/>
            </w:tcBorders>
            <w:shd w:val="clear" w:color="auto" w:fill="FFFFFF"/>
            <w:vAlign w:val="center"/>
          </w:tcPr>
          <w:p w14:paraId="220748C6">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报价策略</w:t>
            </w:r>
          </w:p>
        </w:tc>
        <w:tc>
          <w:tcPr>
            <w:tcW w:w="2388" w:type="dxa"/>
            <w:tcBorders>
              <w:top w:val="nil"/>
              <w:left w:val="nil"/>
              <w:bottom w:val="single" w:color="auto" w:sz="6" w:space="0"/>
              <w:right w:val="single" w:color="auto" w:sz="6" w:space="0"/>
            </w:tcBorders>
            <w:shd w:val="clear" w:color="auto" w:fill="FFFFFF"/>
            <w:vAlign w:val="center"/>
          </w:tcPr>
          <w:p w14:paraId="324E08FF">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成本导向/盲目跟随</w:t>
            </w:r>
          </w:p>
        </w:tc>
        <w:tc>
          <w:tcPr>
            <w:tcW w:w="2550" w:type="dxa"/>
            <w:tcBorders>
              <w:top w:val="nil"/>
              <w:left w:val="nil"/>
              <w:bottom w:val="single" w:color="auto" w:sz="6" w:space="0"/>
              <w:right w:val="single" w:color="auto" w:sz="6" w:space="0"/>
            </w:tcBorders>
            <w:shd w:val="clear" w:color="auto" w:fill="FFFFFF"/>
            <w:vAlign w:val="center"/>
          </w:tcPr>
          <w:p w14:paraId="35F9DE27">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策略导向/边际机会成本</w:t>
            </w:r>
          </w:p>
        </w:tc>
        <w:tc>
          <w:tcPr>
            <w:tcW w:w="3800" w:type="dxa"/>
            <w:tcBorders>
              <w:top w:val="nil"/>
              <w:left w:val="nil"/>
              <w:bottom w:val="single" w:color="auto" w:sz="6" w:space="0"/>
              <w:right w:val="single" w:color="auto" w:sz="6" w:space="0"/>
            </w:tcBorders>
            <w:shd w:val="clear" w:color="auto" w:fill="FFFFFF"/>
            <w:vAlign w:val="center"/>
          </w:tcPr>
          <w:p w14:paraId="2F37FF22">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市场价格发现功能增强。</w:t>
            </w:r>
          </w:p>
        </w:tc>
      </w:tr>
      <w:tr w14:paraId="5171B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590" w:type="dxa"/>
            <w:tcBorders>
              <w:top w:val="nil"/>
              <w:left w:val="single" w:color="auto" w:sz="6" w:space="0"/>
              <w:bottom w:val="single" w:color="auto" w:sz="6" w:space="0"/>
              <w:right w:val="single" w:color="auto" w:sz="6" w:space="0"/>
            </w:tcBorders>
            <w:shd w:val="clear" w:color="auto" w:fill="FFFFFF"/>
            <w:vAlign w:val="center"/>
          </w:tcPr>
          <w:p w14:paraId="1554292A">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合谋风险</w:t>
            </w:r>
          </w:p>
        </w:tc>
        <w:tc>
          <w:tcPr>
            <w:tcW w:w="2388" w:type="dxa"/>
            <w:tcBorders>
              <w:top w:val="nil"/>
              <w:left w:val="nil"/>
              <w:bottom w:val="single" w:color="auto" w:sz="6" w:space="0"/>
              <w:right w:val="single" w:color="auto" w:sz="6" w:space="0"/>
            </w:tcBorders>
            <w:shd w:val="clear" w:color="auto" w:fill="FFFFFF"/>
            <w:vAlign w:val="center"/>
          </w:tcPr>
          <w:p w14:paraId="4542694C">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低（难以协调 ）</w:t>
            </w:r>
          </w:p>
        </w:tc>
        <w:tc>
          <w:tcPr>
            <w:tcW w:w="2550" w:type="dxa"/>
            <w:tcBorders>
              <w:top w:val="nil"/>
              <w:left w:val="nil"/>
              <w:bottom w:val="single" w:color="auto" w:sz="6" w:space="0"/>
              <w:right w:val="single" w:color="auto" w:sz="6" w:space="0"/>
            </w:tcBorders>
            <w:shd w:val="clear" w:color="auto" w:fill="FFFFFF"/>
            <w:vAlign w:val="center"/>
          </w:tcPr>
          <w:p w14:paraId="23F44631">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中（默契合谋可能性增加）</w:t>
            </w:r>
          </w:p>
        </w:tc>
        <w:tc>
          <w:tcPr>
            <w:tcW w:w="3800" w:type="dxa"/>
            <w:tcBorders>
              <w:top w:val="nil"/>
              <w:left w:val="nil"/>
              <w:bottom w:val="single" w:color="auto" w:sz="6" w:space="0"/>
              <w:right w:val="single" w:color="auto" w:sz="6" w:space="0"/>
            </w:tcBorders>
            <w:shd w:val="clear" w:color="auto" w:fill="FFFFFF"/>
            <w:vAlign w:val="center"/>
          </w:tcPr>
          <w:p w14:paraId="039A04C7">
            <w:pPr>
              <w:keepNext w:val="0"/>
              <w:keepLines w:val="0"/>
              <w:widowControl/>
              <w:suppressLineNumbers w:val="0"/>
              <w:wordWrap w:val="0"/>
              <w:spacing w:before="0" w:beforeAutospacing="0" w:after="0" w:afterAutospacing="0"/>
              <w:ind w:left="0" w:right="0"/>
              <w:jc w:val="left"/>
              <w:rPr>
                <w:rFonts w:hint="default" w:ascii="Helvetica" w:hAnsi="Helvetica" w:eastAsia="Helvetica" w:cs="Helvetica"/>
                <w:i w:val="0"/>
                <w:iCs w:val="0"/>
                <w:caps w:val="0"/>
                <w:color w:val="333333"/>
                <w:spacing w:val="0"/>
                <w:sz w:val="18"/>
                <w:szCs w:val="18"/>
              </w:rPr>
            </w:pPr>
            <w:r>
              <w:rPr>
                <w:rFonts w:hint="eastAsia" w:ascii="微软雅黑" w:hAnsi="微软雅黑" w:eastAsia="微软雅黑" w:cs="微软雅黑"/>
                <w:i w:val="0"/>
                <w:iCs w:val="0"/>
                <w:caps w:val="0"/>
                <w:color w:val="1F1F1F"/>
                <w:spacing w:val="0"/>
                <w:kern w:val="0"/>
                <w:sz w:val="21"/>
                <w:szCs w:val="21"/>
                <w:lang w:val="en-US" w:eastAsia="zh-CN" w:bidi="ar"/>
              </w:rPr>
              <w:t>需加强反垄断监管。</w:t>
            </w:r>
          </w:p>
        </w:tc>
      </w:tr>
    </w:tbl>
    <w:p w14:paraId="700A2FE1">
      <w:pPr>
        <w:keepNext w:val="0"/>
        <w:keepLines w:val="0"/>
        <w:widowControl/>
        <w:suppressLineNumbers w:val="0"/>
        <w:jc w:val="left"/>
      </w:pPr>
      <w:r>
        <w:rPr>
          <w:rFonts w:hint="eastAsia" w:ascii="微软雅黑" w:hAnsi="微软雅黑" w:eastAsia="微软雅黑" w:cs="微软雅黑"/>
          <w:kern w:val="0"/>
          <w:sz w:val="30"/>
          <w:szCs w:val="30"/>
          <w:lang w:val="en-US" w:eastAsia="zh-CN" w:bidi="ar"/>
        </w:rPr>
        <w:t> </w:t>
      </w:r>
    </w:p>
    <w:p w14:paraId="3EAD737E">
      <w:pPr>
        <w:rPr>
          <w:rFonts w:hint="eastAsia" w:eastAsia="宋体"/>
          <w:lang w:eastAsia="zh-CN"/>
        </w:rPr>
      </w:pPr>
      <w:r>
        <w:rPr>
          <w:rFonts w:hint="eastAsia" w:eastAsia="宋体"/>
          <w:lang w:eastAsia="zh-CN"/>
        </w:rPr>
        <w:t xml:space="preserve"> </w:t>
      </w:r>
    </w:p>
    <w:p w14:paraId="7AAFB07C">
      <w:pPr>
        <w:rPr>
          <w:rFonts w:hint="eastAsia" w:eastAsia="宋体"/>
          <w:lang w:eastAsia="zh-CN"/>
        </w:rPr>
      </w:pPr>
      <w:r>
        <w:rPr>
          <w:rFonts w:hint="eastAsia" w:eastAsia="宋体"/>
          <w:lang w:eastAsia="zh-CN"/>
        </w:rPr>
        <w:t>6.2 应对“负电价” 的资产组合效应（Portfolio Effect）</w:t>
      </w:r>
    </w:p>
    <w:p w14:paraId="6156AF87">
      <w:pPr>
        <w:rPr>
          <w:rFonts w:hint="eastAsia" w:eastAsia="宋体"/>
          <w:lang w:eastAsia="zh-CN"/>
        </w:rPr>
      </w:pPr>
      <w:r>
        <w:rPr>
          <w:rFonts w:hint="eastAsia" w:eastAsia="宋体"/>
          <w:lang w:eastAsia="zh-CN"/>
        </w:rPr>
        <w:t>负电价是新能源企业的噩梦。《通知》提供的最大武器是资产组合。</w:t>
      </w:r>
    </w:p>
    <w:p w14:paraId="450D7650">
      <w:pPr>
        <w:rPr>
          <w:rFonts w:hint="eastAsia" w:eastAsia="宋体"/>
          <w:lang w:eastAsia="zh-CN"/>
        </w:rPr>
      </w:pPr>
      <w:r>
        <w:rPr>
          <w:rFonts w:hint="eastAsia" w:eastAsia="宋体"/>
          <w:lang w:eastAsia="zh-CN"/>
        </w:rPr>
        <w:t>●   风光互补：一个纯光伏的报价实体，在中午时段只能接受被压低的价格。但如果该实体同时拥有风电，它可以打包出售一个更加平滑的发电曲线（Profile）。在现货市场中，平滑的曲线通常享有溢价， 因为它降低了电网的调节压力。</w:t>
      </w:r>
    </w:p>
    <w:p w14:paraId="1C259F1B">
      <w:pPr>
        <w:rPr>
          <w:rFonts w:hint="eastAsia" w:eastAsia="宋体"/>
          <w:lang w:eastAsia="zh-CN"/>
        </w:rPr>
      </w:pPr>
      <w:r>
        <w:rPr>
          <w:rFonts w:hint="eastAsia" w:eastAsia="宋体"/>
          <w:lang w:eastAsia="zh-CN"/>
        </w:rPr>
        <w:t>●   物理持留（Physical Withholding）的合法化：在极端负电价时段（如-100元/MWh），集中报价实体可以策略性地关停部分高成本或效率低下的机组，减少供给以推高价格。单一小电站做这件事可能得不偿失（损失了所有的发电量）， 但大集团可以通过局部牺牲换取整体利益的最大化。这种行为在一定范围内是理性的市场博弈，但如果过度使用，可能被认定为操纵市场  。</w:t>
      </w:r>
    </w:p>
    <w:p w14:paraId="56BDE4EB">
      <w:pPr>
        <w:rPr>
          <w:rFonts w:hint="eastAsia" w:eastAsia="宋体"/>
          <w:lang w:eastAsia="zh-CN"/>
        </w:rPr>
      </w:pPr>
      <w:r>
        <w:rPr>
          <w:rFonts w:hint="eastAsia" w:eastAsia="宋体"/>
          <w:lang w:eastAsia="zh-CN"/>
        </w:rPr>
        <w:t>6.3 投资逻辑的变革：从“ 资源为王” 到“协同为王”</w:t>
      </w:r>
    </w:p>
    <w:p w14:paraId="55ADAE16">
      <w:pPr>
        <w:rPr>
          <w:rFonts w:hint="eastAsia" w:eastAsia="宋体"/>
          <w:lang w:eastAsia="zh-CN"/>
        </w:rPr>
      </w:pPr>
      <w:r>
        <w:rPr>
          <w:rFonts w:hint="eastAsia" w:eastAsia="宋体"/>
          <w:lang w:eastAsia="zh-CN"/>
        </w:rPr>
        <w:t>过去，新能源投资的核心逻辑是抢占好的风光资源（资源为王） 。《通知》出台后，资产协同性成为新的估值维度。</w:t>
      </w:r>
    </w:p>
    <w:p w14:paraId="36C1108F">
      <w:pPr>
        <w:rPr>
          <w:rFonts w:hint="eastAsia" w:eastAsia="宋体"/>
          <w:lang w:eastAsia="zh-CN"/>
        </w:rPr>
      </w:pPr>
      <w:r>
        <w:rPr>
          <w:rFonts w:hint="eastAsia" w:eastAsia="宋体"/>
          <w:lang w:eastAsia="zh-CN"/>
        </w:rPr>
        <w:t>●   并购趋势：集团在收购新项目时，会优先考虑该项目是否能与现有资产形成互补（如在光伏密集的地区收购风电 ）。</w:t>
      </w:r>
    </w:p>
    <w:p w14:paraId="49D00AE2">
      <w:pPr>
        <w:rPr>
          <w:rFonts w:hint="eastAsia" w:eastAsia="宋体"/>
          <w:lang w:eastAsia="zh-CN"/>
        </w:rPr>
      </w:pPr>
      <w:r>
        <w:rPr>
          <w:rFonts w:hint="eastAsia" w:eastAsia="宋体"/>
          <w:lang w:eastAsia="zh-CN"/>
        </w:rPr>
        <w:t>●    区域布局：为了最大化集中报价的规模效应，企业会倾向于在同一省份密集开发，以达到“最大煤电厂” 的规模上限，从而分摊昂贵的交易系统和专家团队成本。</w:t>
      </w:r>
    </w:p>
    <w:p w14:paraId="2706964D">
      <w:pPr>
        <w:rPr>
          <w:rFonts w:hint="eastAsia" w:eastAsia="宋体"/>
          <w:lang w:eastAsia="zh-CN"/>
        </w:rPr>
      </w:pPr>
      <w:r>
        <w:rPr>
          <w:rFonts w:hint="eastAsia" w:eastAsia="宋体"/>
          <w:lang w:eastAsia="zh-CN"/>
        </w:rPr>
        <w:t>6.4 国际视野：与PJM及Nord Pool的对比</w:t>
      </w:r>
    </w:p>
    <w:p w14:paraId="5C5D49A6">
      <w:pPr>
        <w:rPr>
          <w:rFonts w:hint="eastAsia" w:eastAsia="宋体"/>
          <w:lang w:eastAsia="zh-CN"/>
        </w:rPr>
      </w:pPr>
      <w:r>
        <w:rPr>
          <w:rFonts w:hint="eastAsia" w:eastAsia="宋体"/>
          <w:lang w:eastAsia="zh-CN"/>
        </w:rPr>
        <w:t>●   美国PJM市场：PJM允许“聚合商”（Aggregator）存在，不仅限于同一集团，甚至允许第三方聚合不同业主的资产。相比之下，中国目前的政策更保守，仅限“ 同一集团” ，这反映了对资产控制权和电网安全更谨慎的态度 。</w:t>
      </w:r>
    </w:p>
    <w:p w14:paraId="7BF8B63F">
      <w:pPr>
        <w:rPr>
          <w:rFonts w:hint="eastAsia" w:eastAsia="宋体"/>
          <w:lang w:eastAsia="zh-CN"/>
        </w:rPr>
      </w:pPr>
      <w:r>
        <w:rPr>
          <w:rFonts w:hint="eastAsia" w:eastAsia="宋体"/>
          <w:lang w:eastAsia="zh-CN"/>
        </w:rPr>
        <w:t xml:space="preserve">●    欧洲Nord Pool：北欧市场的“资产组合报价”（Portfolio Bidding）非常成熟。大型水电公司（如Statkraft）就是通过流域梯级水电站的联合调度来最大化收益。 中国的政策正在向这一模式靠拢，即承认大型公用事业公司（Utilities）在维持系统稳定中的核心作用，而非盲目追求原子化的完全竞争 。 </w:t>
      </w:r>
    </w:p>
    <w:p w14:paraId="1F6ADAE9">
      <w:pPr>
        <w:rPr>
          <w:rFonts w:hint="eastAsia" w:eastAsia="宋体"/>
          <w:lang w:eastAsia="zh-CN"/>
        </w:rPr>
      </w:pPr>
      <w:r>
        <w:rPr>
          <w:rFonts w:hint="eastAsia" w:eastAsia="宋体"/>
          <w:lang w:eastAsia="zh-CN"/>
        </w:rPr>
        <w:t>7.未来展望与企业行动建议</w:t>
      </w:r>
    </w:p>
    <w:p w14:paraId="333FAA3C">
      <w:pPr>
        <w:rPr>
          <w:rFonts w:hint="eastAsia" w:eastAsia="宋体"/>
          <w:lang w:eastAsia="zh-CN"/>
        </w:rPr>
      </w:pPr>
      <w:r>
        <w:rPr>
          <w:rFonts w:hint="eastAsia" w:eastAsia="宋体"/>
          <w:lang w:eastAsia="zh-CN"/>
        </w:rPr>
        <w:t>7.1行业生态的演进：电力交易员的黄金时代</w:t>
      </w:r>
    </w:p>
    <w:p w14:paraId="68260A19">
      <w:pPr>
        <w:rPr>
          <w:rFonts w:hint="eastAsia" w:eastAsia="宋体"/>
          <w:lang w:eastAsia="zh-CN"/>
        </w:rPr>
      </w:pPr>
      <w:r>
        <w:rPr>
          <w:rFonts w:hint="eastAsia" w:eastAsia="宋体"/>
          <w:lang w:eastAsia="zh-CN"/>
        </w:rPr>
        <w:t>随着集中报价的实施， 中国将迎来专业电力交易员（Power Trader）的黄金时代。</w:t>
      </w:r>
    </w:p>
    <w:p w14:paraId="1234B1A5">
      <w:pPr>
        <w:rPr>
          <w:rFonts w:hint="eastAsia" w:eastAsia="宋体"/>
          <w:lang w:eastAsia="zh-CN"/>
        </w:rPr>
      </w:pPr>
      <w:r>
        <w:rPr>
          <w:rFonts w:hint="eastAsia" w:eastAsia="宋体"/>
          <w:lang w:eastAsia="zh-CN"/>
        </w:rPr>
        <w:t>●   人才需求：企业将不再满足于只会“抄表” 的运维人员，而是急需懂气象学、数据科学、金融工程和电力系统的复合型人才。</w:t>
      </w:r>
    </w:p>
    <w:p w14:paraId="78707128">
      <w:pPr>
        <w:rPr>
          <w:rFonts w:hint="eastAsia" w:eastAsia="宋体"/>
          <w:lang w:eastAsia="zh-CN"/>
        </w:rPr>
      </w:pPr>
      <w:r>
        <w:rPr>
          <w:rFonts w:hint="eastAsia" w:eastAsia="宋体"/>
          <w:lang w:eastAsia="zh-CN"/>
        </w:rPr>
        <w:t>●   技术军备竞赛：各大发电集团将加大在AI预测、算法交易系统上的投入。未来的电力市场竞争，将在很大程度上表现为算法的竞争。</w:t>
      </w:r>
    </w:p>
    <w:p w14:paraId="3AFCC161">
      <w:pPr>
        <w:rPr>
          <w:rFonts w:hint="eastAsia" w:eastAsia="宋体"/>
          <w:lang w:eastAsia="zh-CN"/>
        </w:rPr>
      </w:pPr>
      <w:r>
        <w:rPr>
          <w:rFonts w:hint="eastAsia" w:eastAsia="宋体"/>
          <w:lang w:eastAsia="zh-CN"/>
        </w:rPr>
        <w:t>7.2 政策迭代的可能路径</w:t>
      </w:r>
    </w:p>
    <w:p w14:paraId="7325E110">
      <w:pPr>
        <w:rPr>
          <w:rFonts w:hint="eastAsia" w:eastAsia="宋体"/>
          <w:lang w:eastAsia="zh-CN"/>
        </w:rPr>
      </w:pPr>
      <w:r>
        <w:rPr>
          <w:rFonts w:hint="eastAsia" w:eastAsia="宋体"/>
          <w:lang w:eastAsia="zh-CN"/>
        </w:rPr>
        <w:t>“试行”意味着政策是动态的。</w:t>
      </w:r>
    </w:p>
    <w:p w14:paraId="519CB2A2">
      <w:pPr>
        <w:rPr>
          <w:rFonts w:hint="eastAsia" w:eastAsia="宋体"/>
          <w:lang w:eastAsia="zh-CN"/>
        </w:rPr>
      </w:pPr>
      <w:r>
        <w:rPr>
          <w:rFonts w:hint="eastAsia" w:eastAsia="宋体"/>
          <w:lang w:eastAsia="zh-CN"/>
        </w:rPr>
        <w:t>●   动态上限：未来，随着新能源装机进一步增加，“最大煤电厂”这一参照系可能会改变，监管层可能引入基于动态HHI测算的更精细化的规模限制。</w:t>
      </w:r>
    </w:p>
    <w:p w14:paraId="35FC7C95">
      <w:pPr>
        <w:rPr>
          <w:rFonts w:hint="eastAsia" w:eastAsia="宋体"/>
          <w:lang w:eastAsia="zh-CN"/>
        </w:rPr>
      </w:pPr>
      <w:r>
        <w:rPr>
          <w:rFonts w:hint="eastAsia" w:eastAsia="宋体"/>
          <w:lang w:eastAsia="zh-CN"/>
        </w:rPr>
        <w:t>●   跨主体聚合：当技术和监管成熟后，或许会放开“ 同一集团” 的限制，允许独立的第三方聚合商将中小民营企业的资产打包进入市场，这才是虚拟电厂（VPP）的终极形态。</w:t>
      </w:r>
    </w:p>
    <w:p w14:paraId="67EC3EB2">
      <w:pPr>
        <w:rPr>
          <w:rFonts w:hint="eastAsia" w:eastAsia="宋体"/>
          <w:lang w:eastAsia="zh-CN"/>
        </w:rPr>
      </w:pPr>
      <w:r>
        <w:rPr>
          <w:rFonts w:hint="eastAsia" w:eastAsia="宋体"/>
          <w:lang w:eastAsia="zh-CN"/>
        </w:rPr>
        <w:t>7.3 给企业的战略建议</w:t>
      </w:r>
    </w:p>
    <w:p w14:paraId="6B81715F">
      <w:pPr>
        <w:rPr>
          <w:rFonts w:hint="eastAsia" w:eastAsia="宋体"/>
          <w:lang w:eastAsia="zh-CN"/>
        </w:rPr>
      </w:pPr>
      <w:r>
        <w:rPr>
          <w:rFonts w:hint="eastAsia" w:eastAsia="宋体"/>
          <w:lang w:eastAsia="zh-CN"/>
        </w:rPr>
        <w:t>1.   数据底座先行：在申请集中报价前，必须打通集团内各场站的SCADA数据系统，建立统一的数据湖。没有实时数据，集中报价就是“盲人骑瞎马”。</w:t>
      </w:r>
    </w:p>
    <w:p w14:paraId="65B008BB">
      <w:pPr>
        <w:rPr>
          <w:rFonts w:hint="eastAsia" w:eastAsia="宋体"/>
          <w:lang w:eastAsia="zh-CN"/>
        </w:rPr>
      </w:pPr>
      <w:r>
        <w:rPr>
          <w:rFonts w:hint="eastAsia" w:eastAsia="宋体"/>
          <w:lang w:eastAsia="zh-CN"/>
        </w:rPr>
        <w:t>2.   完善内部协议：在集团层面，必须制定详尽的《内部模拟市场结算规则》和《偏差责任分摊管理办法》， 用法律文件明确各项目公司的权责，防止未来出现财务纠纷。</w:t>
      </w:r>
    </w:p>
    <w:p w14:paraId="66916898">
      <w:pPr>
        <w:rPr>
          <w:rFonts w:hint="eastAsia" w:eastAsia="宋体"/>
          <w:lang w:eastAsia="zh-CN"/>
        </w:rPr>
      </w:pPr>
      <w:r>
        <w:rPr>
          <w:rFonts w:hint="eastAsia" w:eastAsia="宋体"/>
          <w:lang w:eastAsia="zh-CN"/>
        </w:rPr>
        <w:t>3.   建立风控模型：针对现货市场的极端价格（高价和负电价）， 建立基于组合资产的风险价值( VaR）模型，设定止损线和报价策略库。</w:t>
      </w:r>
    </w:p>
    <w:p w14:paraId="7C7B6848">
      <w:pPr>
        <w:rPr>
          <w:rFonts w:hint="eastAsia" w:eastAsia="宋体"/>
          <w:lang w:eastAsia="zh-CN"/>
        </w:rPr>
      </w:pPr>
      <w:r>
        <w:rPr>
          <w:rFonts w:hint="eastAsia" w:eastAsia="宋体"/>
          <w:lang w:eastAsia="zh-CN"/>
        </w:rPr>
        <w:t>8. 结语</w:t>
      </w:r>
    </w:p>
    <w:p w14:paraId="60CD192C">
      <w:pPr>
        <w:rPr>
          <w:rFonts w:hint="eastAsia" w:eastAsia="宋体"/>
          <w:lang w:eastAsia="zh-CN"/>
        </w:rPr>
      </w:pPr>
      <w:r>
        <w:rPr>
          <w:rFonts w:hint="eastAsia" w:eastAsia="宋体"/>
          <w:lang w:eastAsia="zh-CN"/>
        </w:rPr>
        <w:t>《关于优化集中式新能源发电企业市场报价的通知（试行）》不仅是一份技术性的文件，更是中国电力市场从“幼年期”走向“青春期” 的标志。它承认了新能源的主体地位，尊重了规模经济的规律，并试图用精细化的制度设计来平衡效率与公平。</w:t>
      </w:r>
    </w:p>
    <w:p w14:paraId="3D7174FE">
      <w:pPr>
        <w:rPr>
          <w:rFonts w:hint="eastAsia" w:eastAsia="宋体"/>
          <w:lang w:eastAsia="zh-CN"/>
        </w:rPr>
      </w:pPr>
      <w:r>
        <w:rPr>
          <w:rFonts w:hint="eastAsia" w:eastAsia="宋体"/>
          <w:lang w:eastAsia="zh-CN"/>
        </w:rPr>
        <w:t>对于新能源企业而言，这既是机遇也是大考。告别了“等靠要” 的保护伞，唯有通过精细化的管理、专业化的交易和数字化的转型，才能在波诡云谲的电力市场中立于不败之地。这场变革，才刚刚开始。</w:t>
      </w:r>
    </w:p>
    <w:p w14:paraId="66730CD5">
      <w:pPr>
        <w:rPr>
          <w:rFonts w:hint="eastAsia" w:eastAsia="宋体"/>
          <w:lang w:eastAsia="zh-CN"/>
        </w:rPr>
      </w:pP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g SC 12px">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rawingGridVerticalSpacing w:val="157"/>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E6B31"/>
    <w:rsid w:val="0D0A3D73"/>
    <w:rsid w:val="0EF56D77"/>
    <w:rsid w:val="11F62D5C"/>
    <w:rsid w:val="203B3D71"/>
    <w:rsid w:val="20F91BA5"/>
    <w:rsid w:val="2611646F"/>
    <w:rsid w:val="276A1EBA"/>
    <w:rsid w:val="2B9F159F"/>
    <w:rsid w:val="2EF36113"/>
    <w:rsid w:val="35DA3E68"/>
    <w:rsid w:val="36CA3A99"/>
    <w:rsid w:val="373972A7"/>
    <w:rsid w:val="3B536163"/>
    <w:rsid w:val="3CDF116D"/>
    <w:rsid w:val="41CC5A82"/>
    <w:rsid w:val="41EA2E34"/>
    <w:rsid w:val="46A742C8"/>
    <w:rsid w:val="47A6109B"/>
    <w:rsid w:val="4C6F31F2"/>
    <w:rsid w:val="532F2D81"/>
    <w:rsid w:val="533E5A9F"/>
    <w:rsid w:val="567852EC"/>
    <w:rsid w:val="5B137BF9"/>
    <w:rsid w:val="611430D1"/>
    <w:rsid w:val="651D1CF3"/>
    <w:rsid w:val="709A03B2"/>
    <w:rsid w:val="75895CE5"/>
    <w:rsid w:val="760B1736"/>
    <w:rsid w:val="76CD17F4"/>
    <w:rsid w:val="78FF4092"/>
    <w:rsid w:val="7B640F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2">
    <w:name w:val="Strong"/>
    <w:basedOn w:val="11"/>
    <w:qFormat/>
    <w:uiPriority w:val="0"/>
    <w:rPr>
      <w:b/>
    </w:rPr>
  </w:style>
  <w:style w:type="character" w:styleId="13">
    <w:name w:val="Emphasis"/>
    <w:basedOn w:val="11"/>
    <w:qFormat/>
    <w:uiPriority w:val="0"/>
    <w:rPr>
      <w:i/>
    </w:rPr>
  </w:style>
  <w:style w:type="paragraph" w:customStyle="1" w:styleId="14">
    <w:name w:val="xiaoe-popup-slide-right-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
    <w:name w:val="vue_commo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
    <w:name w:val="theme-customize-font"/>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7">
    <w:name w:val="theme-homework"/>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van-tabs__line"/>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9">
    <w:name w:val="xiaoe-image__loading"/>
    <w:basedOn w:val="1"/>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20">
    <w:name w:val="c12"/>
    <w:basedOn w:val="1"/>
    <w:qFormat/>
    <w:uiPriority w:val="0"/>
    <w:pPr>
      <w:spacing w:before="0" w:beforeAutospacing="0" w:after="0" w:afterAutospacing="0"/>
      <w:ind w:left="0" w:right="0"/>
      <w:jc w:val="left"/>
    </w:pPr>
    <w:rPr>
      <w:rFonts w:hint="eastAsia" w:ascii="宋体" w:hAnsi="宋体" w:eastAsia="宋体" w:cs="宋体"/>
      <w:color w:val="546A94"/>
      <w:kern w:val="0"/>
      <w:sz w:val="24"/>
      <w:szCs w:val="24"/>
      <w:lang w:val="en-US" w:eastAsia="zh-CN" w:bidi="ar"/>
    </w:rPr>
  </w:style>
  <w:style w:type="paragraph" w:customStyle="1" w:styleId="21">
    <w:name w:val="ec1_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2">
    <w:name w:val="e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3">
    <w:name w:val="theme-reserve-class"/>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4">
    <w:name w:val="e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5">
    <w:name w:val="xiaoe-popup__close-icon"/>
    <w:basedOn w:val="1"/>
    <w:qFormat/>
    <w:uiPriority w:val="0"/>
    <w:pPr>
      <w:spacing w:before="0" w:beforeAutospacing="0" w:after="0" w:afterAutospacing="0"/>
      <w:ind w:left="0" w:right="0"/>
      <w:jc w:val="left"/>
    </w:pPr>
    <w:rPr>
      <w:rFonts w:hint="eastAsia" w:ascii="宋体" w:hAnsi="宋体" w:eastAsia="宋体" w:cs="宋体"/>
      <w:kern w:val="0"/>
      <w:sz w:val="33"/>
      <w:szCs w:val="33"/>
      <w:lang w:val="en-US" w:eastAsia="zh-CN" w:bidi="ar"/>
    </w:rPr>
  </w:style>
  <w:style w:type="paragraph" w:customStyle="1" w:styleId="26">
    <w:name w:val="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27">
    <w:name w:val="17"/>
    <w:basedOn w:val="11"/>
    <w:qFormat/>
    <w:uiPriority w:val="0"/>
    <w:rPr>
      <w:rFonts w:hint="default" w:ascii="Times New Roman" w:hAnsi="Times New Roman" w:cs="Times New Roman"/>
      <w:i/>
    </w:rPr>
  </w:style>
  <w:style w:type="paragraph" w:customStyle="1" w:styleId="28">
    <w:name w:val="theme-shadow-record-bt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9">
    <w:name w:val="channel-main-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0">
    <w:name w:val="xiaoe-imag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1">
    <w:name w:val="ec8"/>
    <w:basedOn w:val="1"/>
    <w:qFormat/>
    <w:uiPriority w:val="0"/>
    <w:pPr>
      <w:spacing w:before="0" w:beforeAutospacing="0" w:after="0" w:afterAutospacing="0"/>
      <w:ind w:left="0" w:right="0"/>
      <w:jc w:val="left"/>
    </w:pPr>
    <w:rPr>
      <w:rFonts w:hint="eastAsia" w:ascii="宋体" w:hAnsi="宋体" w:eastAsia="宋体" w:cs="宋体"/>
      <w:color w:val="E5E5E5"/>
      <w:kern w:val="0"/>
      <w:sz w:val="24"/>
      <w:szCs w:val="24"/>
      <w:lang w:val="en-US" w:eastAsia="zh-CN" w:bidi="ar"/>
    </w:rPr>
  </w:style>
  <w:style w:type="paragraph" w:customStyle="1" w:styleId="32">
    <w:name w:val="xiaoe-image--roun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3">
    <w:name w:val="c8"/>
    <w:basedOn w:val="1"/>
    <w:qFormat/>
    <w:uiPriority w:val="0"/>
    <w:pPr>
      <w:spacing w:before="0" w:beforeAutospacing="0" w:after="0" w:afterAutospacing="0"/>
      <w:ind w:left="0" w:right="0"/>
      <w:jc w:val="left"/>
    </w:pPr>
    <w:rPr>
      <w:rFonts w:hint="eastAsia" w:ascii="宋体" w:hAnsi="宋体" w:eastAsia="宋体" w:cs="宋体"/>
      <w:color w:val="757575"/>
      <w:kern w:val="0"/>
      <w:sz w:val="24"/>
      <w:szCs w:val="24"/>
      <w:lang w:val="en-US" w:eastAsia="zh-CN" w:bidi="ar"/>
    </w:rPr>
  </w:style>
  <w:style w:type="character" w:customStyle="1" w:styleId="34">
    <w:name w:val="10"/>
    <w:basedOn w:val="11"/>
    <w:uiPriority w:val="0"/>
    <w:rPr>
      <w:rFonts w:hint="default" w:ascii="Times New Roman" w:hAnsi="Times New Roman" w:cs="Times New Roman"/>
    </w:rPr>
  </w:style>
  <w:style w:type="paragraph" w:customStyle="1" w:styleId="35">
    <w:name w:val="polling-content[data-v-1a946544]"/>
    <w:basedOn w:val="1"/>
    <w:uiPriority w:val="0"/>
    <w:pPr>
      <w:pBdr>
        <w:top w:val="none" w:color="auto" w:sz="0" w:space="0"/>
        <w:left w:val="none" w:color="auto" w:sz="0" w:space="0"/>
        <w:bottom w:val="none" w:color="auto" w:sz="0" w:space="0"/>
        <w:right w:val="none" w:color="auto" w:sz="0" w:space="0"/>
      </w:pBdr>
      <w:spacing w:after="360" w:afterAutospacing="0"/>
      <w:jc w:val="left"/>
    </w:pPr>
    <w:rPr>
      <w:rFonts w:hint="eastAsia" w:ascii="宋体" w:hAnsi="宋体" w:eastAsia="宋体" w:cs="宋体"/>
      <w:kern w:val="0"/>
      <w:sz w:val="21"/>
      <w:szCs w:val="21"/>
      <w:lang w:val="en-US" w:eastAsia="zh-CN" w:bidi="ar"/>
    </w:rPr>
  </w:style>
  <w:style w:type="paragraph" w:customStyle="1" w:styleId="36">
    <w:name w:val="van-tab--active"/>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37">
    <w:name w:val="ec9_bg"/>
    <w:basedOn w:val="1"/>
    <w:qFormat/>
    <w:uiPriority w:val="0"/>
    <w:pPr>
      <w:shd w:val="clear" w:fill="EFEFF4"/>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8">
    <w:name w:val="polling-header[data-v-1a946544]"/>
    <w:basedOn w:val="1"/>
    <w:uiPriority w:val="0"/>
    <w:pPr>
      <w:spacing w:after="180" w:afterAutospacing="0" w:line="360" w:lineRule="atLeast"/>
      <w:jc w:val="left"/>
    </w:pPr>
    <w:rPr>
      <w:rFonts w:hint="eastAsia" w:ascii="宋体" w:hAnsi="宋体" w:eastAsia="宋体" w:cs="宋体"/>
      <w:kern w:val="0"/>
      <w:sz w:val="24"/>
      <w:szCs w:val="24"/>
      <w:lang w:val="en-US" w:eastAsia="zh-CN" w:bidi="ar"/>
    </w:rPr>
  </w:style>
  <w:style w:type="character" w:customStyle="1" w:styleId="39">
    <w:name w:val="15"/>
    <w:basedOn w:val="11"/>
    <w:uiPriority w:val="0"/>
    <w:rPr>
      <w:rFonts w:hint="default" w:ascii="Times New Roman" w:hAnsi="Times New Roman" w:cs="Times New Roman"/>
      <w:b/>
    </w:rPr>
  </w:style>
  <w:style w:type="paragraph" w:customStyle="1" w:styleId="40">
    <w:name w:val="et6"/>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1">
    <w:name w:val="xiaoe-image__loading-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42">
    <w:name w:val="xiaoe-popu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3">
    <w:name w:val="xiaoe-image__backdr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4">
    <w:name w:val="ec4"/>
    <w:basedOn w:val="1"/>
    <w:uiPriority w:val="0"/>
    <w:pPr>
      <w:spacing w:before="0" w:beforeAutospacing="0" w:after="0" w:afterAutospacing="0"/>
      <w:ind w:left="0" w:right="0"/>
      <w:jc w:val="left"/>
    </w:pPr>
    <w:rPr>
      <w:rFonts w:hint="eastAsia" w:ascii="宋体" w:hAnsi="宋体" w:eastAsia="宋体" w:cs="宋体"/>
      <w:color w:val="FF9B2C"/>
      <w:kern w:val="0"/>
      <w:sz w:val="24"/>
      <w:szCs w:val="24"/>
      <w:lang w:val="en-US" w:eastAsia="zh-CN" w:bidi="ar"/>
    </w:rPr>
  </w:style>
  <w:style w:type="paragraph" w:customStyle="1" w:styleId="45">
    <w:name w:val="channel-auxiliary-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6">
    <w:name w:val="16"/>
    <w:basedOn w:val="11"/>
    <w:uiPriority w:val="0"/>
    <w:rPr>
      <w:rFonts w:hint="default" w:ascii="Times New Roman" w:hAnsi="Times New Roman" w:cs="Times New Roman"/>
      <w:color w:val="800080"/>
      <w:u w:val="single"/>
    </w:rPr>
  </w:style>
  <w:style w:type="paragraph" w:customStyle="1" w:styleId="47">
    <w:name w:val="channel-linear"/>
    <w:basedOn w:val="1"/>
    <w:uiPriority w:val="0"/>
    <w:pPr>
      <w:shd w:val="clear" w:fill="FE65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8">
    <w:name w:val="18"/>
    <w:basedOn w:val="11"/>
    <w:uiPriority w:val="0"/>
    <w:rPr>
      <w:rFonts w:hint="default" w:ascii="Times New Roman" w:hAnsi="Times New Roman" w:cs="Times New Roman"/>
      <w:color w:val="0000FF"/>
      <w:u w:val="single"/>
    </w:rPr>
  </w:style>
  <w:style w:type="paragraph" w:customStyle="1" w:styleId="49">
    <w:name w:val="e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0">
    <w:name w:val="fix-wrap[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1">
    <w:name w:val="channel-main-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2">
    <w:name w:val="c6"/>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53">
    <w:name w:val="check-detail[data-v-c7a40378]"/>
    <w:basedOn w:val="1"/>
    <w:qFormat/>
    <w:uiPriority w:val="0"/>
    <w:pPr>
      <w:spacing w:before="0" w:beforeAutospacing="0" w:after="0" w:afterAutospacing="0"/>
      <w:ind w:left="0" w:right="0"/>
      <w:jc w:val="center"/>
    </w:pPr>
    <w:rPr>
      <w:rFonts w:hint="eastAsia" w:ascii="宋体" w:hAnsi="宋体" w:eastAsia="宋体" w:cs="宋体"/>
      <w:color w:val="999999"/>
      <w:kern w:val="0"/>
      <w:sz w:val="24"/>
      <w:szCs w:val="24"/>
      <w:lang w:val="en-US" w:eastAsia="zh-CN" w:bidi="ar"/>
    </w:rPr>
  </w:style>
  <w:style w:type="paragraph" w:customStyle="1" w:styleId="54">
    <w:name w:val="t4"/>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5">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6">
    <w:name w:val="real-list-wrap[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7">
    <w:name w:val="type-ta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8">
    <w:name w:val="package_link_button[data-v-c7a40378]"/>
    <w:basedOn w:val="1"/>
    <w:qFormat/>
    <w:uiPriority w:val="0"/>
    <w:pPr>
      <w:spacing w:before="0" w:beforeAutospacing="0" w:after="0" w:afterAutospacing="0"/>
      <w:ind w:left="0" w:right="0"/>
      <w:jc w:val="center"/>
    </w:pPr>
    <w:rPr>
      <w:rFonts w:hint="default" w:ascii="PingFang SC" w:hAnsi="PingFang SC" w:eastAsia="PingFang SC" w:cs="PingFang SC"/>
      <w:color w:val="333333"/>
      <w:kern w:val="0"/>
      <w:sz w:val="18"/>
      <w:szCs w:val="18"/>
      <w:lang w:val="en-US" w:eastAsia="zh-CN" w:bidi="ar"/>
    </w:rPr>
  </w:style>
  <w:style w:type="paragraph" w:customStyle="1" w:styleId="59">
    <w:name w:val="xiaoe-image__im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0">
    <w:name w:val="xiaoe-popup-slide-right-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1">
    <w:name w:val="polling-message-box[data-v-1a946544]"/>
    <w:basedOn w:val="1"/>
    <w:uiPriority w:val="0"/>
    <w:pPr>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textAlignment w:val="center"/>
    </w:pPr>
    <w:rPr>
      <w:rFonts w:hint="eastAsia" w:ascii="宋体" w:hAnsi="宋体" w:eastAsia="宋体" w:cs="宋体"/>
      <w:kern w:val="0"/>
      <w:sz w:val="24"/>
      <w:szCs w:val="24"/>
      <w:lang w:val="en-US" w:eastAsia="zh-CN" w:bidi="ar"/>
    </w:rPr>
  </w:style>
  <w:style w:type="paragraph" w:customStyle="1" w:styleId="62">
    <w:name w:val="ec13"/>
    <w:basedOn w:val="1"/>
    <w:uiPriority w:val="0"/>
    <w:pPr>
      <w:spacing w:before="0" w:beforeAutospacing="0" w:after="0" w:afterAutospacing="0"/>
      <w:ind w:left="0" w:right="0"/>
      <w:jc w:val="left"/>
    </w:pPr>
    <w:rPr>
      <w:rFonts w:hint="eastAsia" w:ascii="宋体" w:hAnsi="宋体" w:eastAsia="宋体" w:cs="宋体"/>
      <w:color w:val="4A4C5B"/>
      <w:kern w:val="0"/>
      <w:sz w:val="24"/>
      <w:szCs w:val="24"/>
      <w:lang w:val="en-US" w:eastAsia="zh-CN" w:bidi="ar"/>
    </w:rPr>
  </w:style>
  <w:style w:type="paragraph" w:customStyle="1" w:styleId="63">
    <w:name w:val="普通(网站) Char"/>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64">
    <w:name w:val="xiaoe-popup--t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5">
    <w:name w:val="ec10_bg"/>
    <w:basedOn w:val="1"/>
    <w:qFormat/>
    <w:uiPriority w:val="0"/>
    <w:pPr>
      <w:shd w:val="clear" w:fill="FFFFFF"/>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6">
    <w:name w:val="van-sku-row__item--active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7">
    <w:name w:val="ec7_bg"/>
    <w:basedOn w:val="1"/>
    <w:uiPriority w:val="0"/>
    <w:pPr>
      <w:shd w:val="clear" w:fill="B2B2B2"/>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8">
    <w:name w:val="et9"/>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9">
    <w:name w:val="theme-customize-light-new"/>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0">
    <w:name w:val="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1">
    <w:name w:val="ec2_bg"/>
    <w:basedOn w:val="1"/>
    <w:qFormat/>
    <w:uiPriority w:val="0"/>
    <w:pPr>
      <w:shd w:val="clear" w:fill="FF6B6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2">
    <w:name w:val="theme-shequ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3">
    <w:name w:val="ec13_bg"/>
    <w:basedOn w:val="1"/>
    <w:uiPriority w:val="0"/>
    <w:pPr>
      <w:shd w:val="clear" w:fill="4A4C5B"/>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4">
    <w:name w:val="channel-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5">
    <w:name w:val="xiaoe-popup-slide-top-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6">
    <w:name w:val="c14"/>
    <w:basedOn w:val="1"/>
    <w:uiPriority w:val="0"/>
    <w:pPr>
      <w:spacing w:before="0" w:beforeAutospacing="0" w:after="0" w:afterAutospacing="0"/>
      <w:ind w:left="0" w:right="0"/>
      <w:jc w:val="left"/>
    </w:pPr>
    <w:rPr>
      <w:rFonts w:hint="eastAsia" w:ascii="宋体" w:hAnsi="宋体" w:eastAsia="宋体" w:cs="宋体"/>
      <w:color w:val="00C674"/>
      <w:kern w:val="0"/>
      <w:sz w:val="24"/>
      <w:szCs w:val="24"/>
      <w:lang w:val="en-US" w:eastAsia="zh-CN" w:bidi="ar"/>
    </w:rPr>
  </w:style>
  <w:style w:type="paragraph" w:customStyle="1" w:styleId="77">
    <w:name w:val="do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8">
    <w:name w:val="ec5_bg"/>
    <w:basedOn w:val="1"/>
    <w:uiPriority w:val="0"/>
    <w:pPr>
      <w:shd w:val="clear" w:fill="35353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9">
    <w:name w:val="switch-login-img-qrcod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0">
    <w:name w:val="channel-auxiliary-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1">
    <w:name w:val="channel-main-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2">
    <w:name w:val="item-right[data-v-c7a40378]"/>
    <w:basedOn w:val="1"/>
    <w:qFormat/>
    <w:uiPriority w:val="0"/>
    <w:pPr>
      <w:ind w:left="120"/>
      <w:jc w:val="left"/>
    </w:pPr>
    <w:rPr>
      <w:rFonts w:hint="eastAsia" w:ascii="宋体" w:hAnsi="宋体" w:eastAsia="宋体" w:cs="宋体"/>
      <w:kern w:val="0"/>
      <w:sz w:val="24"/>
      <w:szCs w:val="24"/>
      <w:lang w:val="en-US" w:eastAsia="zh-CN" w:bidi="ar"/>
    </w:rPr>
  </w:style>
  <w:style w:type="paragraph" w:customStyle="1" w:styleId="83">
    <w:name w:val="c16"/>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84">
    <w:name w:val="xiaoe-popup-slide-left-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5">
    <w:name w:val="item-title[data-v-c7a40378]"/>
    <w:basedOn w:val="1"/>
    <w:qFormat/>
    <w:uiPriority w:val="0"/>
    <w:pPr>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paragraph" w:customStyle="1" w:styleId="86">
    <w:name w:val="tabs-idx-lin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7">
    <w:name w:val="c3"/>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88">
    <w:name w:val="c2"/>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89">
    <w:name w:val="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0">
    <w:name w:val="ec8_bg"/>
    <w:basedOn w:val="1"/>
    <w:qFormat/>
    <w:uiPriority w:val="0"/>
    <w:pPr>
      <w:shd w:val="clear" w:fill="E5E5E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1">
    <w:name w:val="theme-chengji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2">
    <w:name w:val="ec3_bg"/>
    <w:basedOn w:val="1"/>
    <w:qFormat/>
    <w:uiPriority w:val="0"/>
    <w:pPr>
      <w:shd w:val="clear" w:fill="576B9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3">
    <w:name w:val="xiaoe-popu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4">
    <w:name w:val="theme-exa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5">
    <w:name w:val="theme-customize-borde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6">
    <w:name w:val="ec6"/>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97">
    <w:name w:val="c111"/>
    <w:basedOn w:val="1"/>
    <w:qFormat/>
    <w:uiPriority w:val="0"/>
    <w:pPr>
      <w:spacing w:before="0" w:beforeAutospacing="0" w:after="0" w:afterAutospacing="0"/>
      <w:ind w:left="0" w:right="0"/>
      <w:jc w:val="left"/>
    </w:pPr>
    <w:rPr>
      <w:rFonts w:hint="eastAsia" w:ascii="宋体" w:hAnsi="宋体" w:eastAsia="宋体" w:cs="宋体"/>
      <w:color w:val="6BD06A"/>
      <w:kern w:val="0"/>
      <w:sz w:val="24"/>
      <w:szCs w:val="24"/>
      <w:lang w:val="en-US" w:eastAsia="zh-CN" w:bidi="ar"/>
    </w:rPr>
  </w:style>
  <w:style w:type="paragraph" w:customStyle="1" w:styleId="98">
    <w:name w:val="xiaoe-popup-slide-top-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9">
    <w:name w:val="ec12"/>
    <w:basedOn w:val="1"/>
    <w:qFormat/>
    <w:uiPriority w:val="0"/>
    <w:pPr>
      <w:spacing w:before="0" w:beforeAutospacing="0" w:after="0" w:afterAutospacing="0"/>
      <w:ind w:left="0" w:right="0"/>
      <w:jc w:val="left"/>
    </w:pPr>
    <w:rPr>
      <w:rFonts w:hint="eastAsia" w:ascii="宋体" w:hAnsi="宋体" w:eastAsia="宋体" w:cs="宋体"/>
      <w:color w:val="030303"/>
      <w:kern w:val="0"/>
      <w:sz w:val="24"/>
      <w:szCs w:val="24"/>
      <w:lang w:val="en-US" w:eastAsia="zh-CN" w:bidi="ar"/>
    </w:rPr>
  </w:style>
  <w:style w:type="paragraph" w:customStyle="1" w:styleId="100">
    <w:name w:val="xiaoe-image__top-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1">
    <w:name w:val="ec10"/>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02">
    <w:name w:val="switch-login-img-phon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3">
    <w:name w:val="c10"/>
    <w:basedOn w:val="1"/>
    <w:qFormat/>
    <w:uiPriority w:val="0"/>
    <w:pPr>
      <w:spacing w:before="0" w:beforeAutospacing="0" w:after="0" w:afterAutospacing="0"/>
      <w:ind w:left="0" w:right="0"/>
      <w:jc w:val="left"/>
    </w:pPr>
    <w:rPr>
      <w:rFonts w:hint="eastAsia" w:ascii="宋体" w:hAnsi="宋体" w:eastAsia="宋体" w:cs="宋体"/>
      <w:color w:val="3CCA72"/>
      <w:kern w:val="0"/>
      <w:sz w:val="24"/>
      <w:szCs w:val="24"/>
      <w:lang w:val="en-US" w:eastAsia="zh-CN" w:bidi="ar"/>
    </w:rPr>
  </w:style>
  <w:style w:type="paragraph" w:customStyle="1" w:styleId="104">
    <w:name w:val="channel-limit-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5">
    <w:name w:val="c17"/>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06">
    <w:name w:val="c1"/>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07">
    <w:name w:val="theme-curriculu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8">
    <w:name w:val="t1"/>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9">
    <w:name w:val="item-footer-ti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0">
    <w:name w:val="e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1">
    <w:name w:val="theme-customize-strok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2">
    <w:name w:val="xiaoe-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3">
    <w:name w:val="xiaoe-popu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4">
    <w:name w:val="ec11"/>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15">
    <w:name w:val="banner-side-all-wra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6">
    <w:name w:val="van-sku-row__item--active"/>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7">
    <w:name w:val="theme-customize-bg-light"/>
    <w:basedOn w:val="1"/>
    <w:qFormat/>
    <w:uiPriority w:val="0"/>
    <w:pPr>
      <w:shd w:val="clear" w:fill="E0F9D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8">
    <w:name w:val="xiaoe-popup-slide-bottom-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9">
    <w:name w:val="theme-as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0">
    <w:name w:val="c5"/>
    <w:basedOn w:val="1"/>
    <w:qFormat/>
    <w:uiPriority w:val="0"/>
    <w:pPr>
      <w:spacing w:before="0" w:beforeAutospacing="0" w:after="0" w:afterAutospacing="0"/>
      <w:ind w:left="0" w:right="0"/>
      <w:jc w:val="left"/>
    </w:pPr>
    <w:rPr>
      <w:rFonts w:hint="eastAsia" w:ascii="宋体" w:hAnsi="宋体" w:eastAsia="宋体" w:cs="宋体"/>
      <w:color w:val="E64340"/>
      <w:kern w:val="0"/>
      <w:sz w:val="24"/>
      <w:szCs w:val="24"/>
      <w:lang w:val="en-US" w:eastAsia="zh-CN" w:bidi="ar"/>
    </w:rPr>
  </w:style>
  <w:style w:type="paragraph" w:customStyle="1" w:styleId="121">
    <w:name w:val="xiaoe-popup__close-icon--bottom-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2">
    <w:name w:val="theme-customize-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3">
    <w:name w:val="t9"/>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4">
    <w:name w:val="close-icon[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5">
    <w:name w:val="xiaoe-popup--safe-area-inset-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6">
    <w:name w:val="theme-customize-border-colo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7">
    <w:name w:val="theme-customize-fill"/>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8">
    <w:name w:val="xiaoe-popup__close-icon--to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9">
    <w:name w:val="ec6_bg"/>
    <w:basedOn w:val="1"/>
    <w:qFormat/>
    <w:uiPriority w:val="0"/>
    <w:pPr>
      <w:shd w:val="clear" w:fill="888888"/>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0">
    <w:name w:val="theme-reserve-recor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1">
    <w:name w:val="c0_white"/>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32">
    <w:name w:val="btn__confir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3">
    <w:name w:val="ec11_bg"/>
    <w:basedOn w:val="1"/>
    <w:qFormat/>
    <w:uiPriority w:val="0"/>
    <w:pPr>
      <w:shd w:val="clear" w:fill="999999"/>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4">
    <w:name w:val="xiaoe-image__error-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135">
    <w:name w:val="xiaoe-overflow-hidde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6">
    <w:name w:val="ec16"/>
    <w:basedOn w:val="1"/>
    <w:qFormat/>
    <w:uiPriority w:val="0"/>
    <w:pPr>
      <w:spacing w:before="0" w:beforeAutospacing="0" w:after="0" w:afterAutospacing="0"/>
      <w:ind w:left="0" w:right="0"/>
      <w:jc w:val="left"/>
    </w:pPr>
    <w:rPr>
      <w:rFonts w:hint="eastAsia" w:ascii="宋体" w:hAnsi="宋体" w:eastAsia="宋体" w:cs="宋体"/>
      <w:color w:val="FF002A"/>
      <w:kern w:val="0"/>
      <w:sz w:val="24"/>
      <w:szCs w:val="24"/>
      <w:lang w:val="en-US" w:eastAsia="zh-CN" w:bidi="ar"/>
    </w:rPr>
  </w:style>
  <w:style w:type="paragraph" w:customStyle="1" w:styleId="137">
    <w:name w:val="channel-auxiliary-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8">
    <w:name w:val="polling-footer[data-v-1a94654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9">
    <w:name w:val="item-left[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0">
    <w:name w:val="xiaoe-popup__close-icon--bottom-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1">
    <w:name w:val="ec4_bg"/>
    <w:basedOn w:val="1"/>
    <w:qFormat/>
    <w:uiPriority w:val="0"/>
    <w:pPr>
      <w:shd w:val="clear" w:fill="FF9B2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2">
    <w:name w:val="xiaoe-popup--c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3">
    <w:name w:val="xiaoe-popup-slide-bottom-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4">
    <w:name w:val="ec12_bg"/>
    <w:basedOn w:val="1"/>
    <w:uiPriority w:val="0"/>
    <w:pPr>
      <w:shd w:val="clear" w:fill="030303"/>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5">
    <w:name w:val="xiaoe-popup-slide-left-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6">
    <w:name w:val="ec141"/>
    <w:basedOn w:val="1"/>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47">
    <w:name w:val="xiaoe-popup__close-icon--top-righ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8">
    <w:name w:val="xiaoe-image__error"/>
    <w:basedOn w:val="1"/>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49">
    <w:name w:val="ec5"/>
    <w:basedOn w:val="1"/>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150">
    <w:name w:val="et1"/>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1">
    <w:name w:val="ec7"/>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152">
    <w:name w:val="c7"/>
    <w:basedOn w:val="1"/>
    <w:uiPriority w:val="0"/>
    <w:pPr>
      <w:spacing w:before="0" w:beforeAutospacing="0" w:after="0" w:afterAutospacing="0"/>
      <w:ind w:left="0" w:right="0"/>
      <w:jc w:val="left"/>
    </w:pPr>
    <w:rPr>
      <w:rFonts w:hint="eastAsia" w:ascii="宋体" w:hAnsi="宋体" w:eastAsia="宋体" w:cs="宋体"/>
      <w:color w:val="2F96E6"/>
      <w:kern w:val="0"/>
      <w:sz w:val="24"/>
      <w:szCs w:val="24"/>
      <w:lang w:val="en-US" w:eastAsia="zh-CN" w:bidi="ar"/>
    </w:rPr>
  </w:style>
  <w:style w:type="paragraph" w:customStyle="1" w:styleId="153">
    <w:name w:val="ec9"/>
    <w:basedOn w:val="1"/>
    <w:uiPriority w:val="0"/>
    <w:pPr>
      <w:spacing w:before="0" w:beforeAutospacing="0" w:after="0" w:afterAutospacing="0"/>
      <w:ind w:left="0" w:right="0"/>
      <w:jc w:val="left"/>
    </w:pPr>
    <w:rPr>
      <w:rFonts w:hint="eastAsia" w:ascii="宋体" w:hAnsi="宋体" w:eastAsia="宋体" w:cs="宋体"/>
      <w:color w:val="EFEFF4"/>
      <w:kern w:val="0"/>
      <w:sz w:val="24"/>
      <w:szCs w:val="24"/>
      <w:lang w:val="en-US" w:eastAsia="zh-CN" w:bidi="ar"/>
    </w:rPr>
  </w:style>
  <w:style w:type="paragraph" w:customStyle="1" w:styleId="154">
    <w:name w:val="item-img[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5">
    <w:name w:val="van-popup--botto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6">
    <w:name w:val="t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7">
    <w:name w:val="ec1"/>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58">
    <w:name w:val="ec2"/>
    <w:basedOn w:val="1"/>
    <w:uiPriority w:val="0"/>
    <w:pPr>
      <w:spacing w:before="0" w:beforeAutospacing="0" w:after="0" w:afterAutospacing="0"/>
      <w:ind w:left="0" w:right="0"/>
      <w:jc w:val="left"/>
    </w:pPr>
    <w:rPr>
      <w:rFonts w:hint="eastAsia" w:ascii="宋体" w:hAnsi="宋体" w:eastAsia="宋体" w:cs="宋体"/>
      <w:color w:val="FF6B67"/>
      <w:kern w:val="0"/>
      <w:sz w:val="24"/>
      <w:szCs w:val="24"/>
      <w:lang w:val="en-US" w:eastAsia="zh-CN" w:bidi="ar"/>
    </w:rPr>
  </w:style>
  <w:style w:type="paragraph" w:customStyle="1" w:styleId="159">
    <w:name w:val="theme-class-recor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0">
    <w:name w:val="item-price[data-v-c7a40378]"/>
    <w:basedOn w:val="1"/>
    <w:uiPriority w:val="0"/>
    <w:pPr>
      <w:spacing w:before="0" w:beforeAutospacing="0" w:after="0" w:afterAutospacing="0" w:line="240" w:lineRule="atLeast"/>
      <w:ind w:left="0" w:right="0"/>
      <w:jc w:val="left"/>
    </w:pPr>
    <w:rPr>
      <w:rFonts w:hint="default" w:ascii="PingFang SC" w:hAnsi="PingFang SC" w:eastAsia="PingFang SC" w:cs="PingFang SC"/>
      <w:kern w:val="0"/>
      <w:sz w:val="18"/>
      <w:szCs w:val="18"/>
      <w:lang w:val="en-US" w:eastAsia="zh-CN" w:bidi="ar"/>
    </w:rPr>
  </w:style>
  <w:style w:type="paragraph" w:customStyle="1" w:styleId="161">
    <w:name w:val="clearfix"/>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2">
    <w:name w:val="item-tag[data-v-c7a40378]"/>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rFonts w:hint="default" w:ascii="ng SC 12px" w:hAnsi="ng SC 12px" w:eastAsia="ng SC 12px" w:cs="ng SC 12px"/>
      <w:color w:val="FFFFFF"/>
      <w:kern w:val="0"/>
      <w:sz w:val="24"/>
      <w:szCs w:val="24"/>
      <w:lang w:val="en-US" w:eastAsia="zh-CN" w:bidi="ar"/>
    </w:rPr>
  </w:style>
  <w:style w:type="paragraph" w:customStyle="1" w:styleId="163">
    <w:name w:val="ec3"/>
    <w:basedOn w:val="1"/>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64">
    <w:name w:val="item-text__wrap[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5">
    <w:name w:val="van-ico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6">
    <w:name w:val="package_list_item[data-v-c7a40378]"/>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7">
    <w:name w:val="list-wrap_title[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8">
    <w:name w:val="ec14_bg"/>
    <w:basedOn w:val="1"/>
    <w:uiPriority w:val="0"/>
    <w:pPr>
      <w:shd w:val="clear" w:fill="0000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9">
    <w:name w:val="ec15"/>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70">
    <w:name w:val="e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1">
    <w:name w:val="e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2">
    <w:name w:val="theme-renw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3">
    <w:name w:val="c18"/>
    <w:basedOn w:val="1"/>
    <w:qFormat/>
    <w:uiPriority w:val="0"/>
    <w:pPr>
      <w:spacing w:before="0" w:beforeAutospacing="0" w:after="0" w:afterAutospacing="0"/>
      <w:ind w:left="0" w:right="0"/>
      <w:jc w:val="left"/>
    </w:pPr>
    <w:rPr>
      <w:rFonts w:hint="eastAsia" w:ascii="宋体" w:hAnsi="宋体" w:eastAsia="宋体" w:cs="宋体"/>
      <w:color w:val="9C9C9C"/>
      <w:kern w:val="0"/>
      <w:sz w:val="24"/>
      <w:szCs w:val="24"/>
      <w:lang w:val="en-US" w:eastAsia="zh-CN" w:bidi="ar"/>
    </w:rPr>
  </w:style>
  <w:style w:type="paragraph" w:customStyle="1" w:styleId="174">
    <w:name w:val="c13"/>
    <w:basedOn w:val="1"/>
    <w:qFormat/>
    <w:uiPriority w:val="0"/>
    <w:pPr>
      <w:spacing w:before="0" w:beforeAutospacing="0" w:after="0" w:afterAutospacing="0"/>
      <w:ind w:left="0" w:right="0"/>
      <w:jc w:val="left"/>
    </w:pPr>
    <w:rPr>
      <w:rFonts w:hint="eastAsia" w:ascii="宋体" w:hAnsi="宋体" w:eastAsia="宋体" w:cs="宋体"/>
      <w:color w:val="1BC570"/>
      <w:kern w:val="0"/>
      <w:sz w:val="24"/>
      <w:szCs w:val="24"/>
      <w:lang w:val="en-US" w:eastAsia="zh-CN" w:bidi="ar"/>
    </w:rPr>
  </w:style>
  <w:style w:type="paragraph" w:customStyle="1" w:styleId="175">
    <w:name w:val="theme-yigo"/>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6">
    <w:name w:val="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7">
    <w:name w:val="theme-customize-bg-ms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8">
    <w:name w:val="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9">
    <w:name w:val="c4"/>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80">
    <w:name w:val="c9"/>
    <w:basedOn w:val="1"/>
    <w:qFormat/>
    <w:uiPriority w:val="0"/>
    <w:pPr>
      <w:spacing w:before="0" w:beforeAutospacing="0" w:after="0" w:afterAutospacing="0"/>
      <w:ind w:left="0" w:right="0"/>
      <w:jc w:val="left"/>
    </w:pPr>
    <w:rPr>
      <w:rFonts w:hint="eastAsia" w:ascii="宋体" w:hAnsi="宋体" w:eastAsia="宋体" w:cs="宋体"/>
      <w:color w:val="32CC6E"/>
      <w:kern w:val="0"/>
      <w:sz w:val="24"/>
      <w:szCs w:val="24"/>
      <w:lang w:val="en-US" w:eastAsia="zh-CN" w:bidi="ar"/>
    </w:rPr>
  </w:style>
  <w:style w:type="paragraph" w:customStyle="1" w:styleId="181">
    <w:name w:val="c15"/>
    <w:basedOn w:val="1"/>
    <w:qFormat/>
    <w:uiPriority w:val="0"/>
    <w:pPr>
      <w:spacing w:before="0" w:beforeAutospacing="0" w:after="0" w:afterAutospacing="0"/>
      <w:ind w:left="0" w:right="0"/>
      <w:jc w:val="left"/>
    </w:pPr>
    <w:rPr>
      <w:rFonts w:hint="eastAsia" w:ascii="宋体" w:hAnsi="宋体" w:eastAsia="宋体" w:cs="宋体"/>
      <w:color w:val="FF7D2A"/>
      <w:kern w:val="0"/>
      <w:sz w:val="24"/>
      <w:szCs w:val="24"/>
      <w:lang w:val="en-US" w:eastAsia="zh-CN" w:bidi="ar"/>
    </w:rPr>
  </w:style>
  <w:style w:type="paragraph" w:customStyle="1" w:styleId="182">
    <w:name w:val="c19"/>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83">
    <w:name w:val="c20"/>
    <w:basedOn w:val="1"/>
    <w:qFormat/>
    <w:uiPriority w:val="0"/>
    <w:pPr>
      <w:spacing w:before="0" w:beforeAutospacing="0" w:after="0" w:afterAutospacing="0"/>
      <w:ind w:left="0" w:right="0"/>
      <w:jc w:val="left"/>
    </w:pPr>
    <w:rPr>
      <w:rFonts w:hint="eastAsia" w:ascii="宋体" w:hAnsi="宋体" w:eastAsia="宋体" w:cs="宋体"/>
      <w:color w:val="666666"/>
      <w:kern w:val="0"/>
      <w:sz w:val="24"/>
      <w:szCs w:val="24"/>
      <w:lang w:val="en-US" w:eastAsia="zh-CN" w:bidi="ar"/>
    </w:rPr>
  </w:style>
  <w:style w:type="paragraph" w:customStyle="1" w:styleId="184">
    <w:name w:val="img-box[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5">
    <w:name w:val="theme-daka"/>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6">
    <w:name w:val="them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7">
    <w:name w:val="item-footer[data-v-c7a40378]"/>
    <w:basedOn w:val="1"/>
    <w:qFormat/>
    <w:uiPriority w:val="0"/>
    <w:pPr>
      <w:spacing w:before="0" w:beforeAutospacing="0" w:after="0" w:afterAutospacing="0" w:line="240" w:lineRule="atLeast"/>
      <w:ind w:left="0" w:right="0"/>
      <w:jc w:val="left"/>
    </w:pPr>
    <w:rPr>
      <w:rFonts w:hint="eastAsia" w:ascii="宋体" w:hAnsi="宋体" w:eastAsia="宋体" w:cs="宋体"/>
      <w:kern w:val="0"/>
      <w:sz w:val="24"/>
      <w:szCs w:val="24"/>
      <w:lang w:val="en-US" w:eastAsia="zh-CN" w:bidi="ar"/>
    </w:rPr>
  </w:style>
  <w:style w:type="paragraph" w:customStyle="1" w:styleId="188">
    <w:name w:val="polling-container[data-v-1a946544]"/>
    <w:basedOn w:val="1"/>
    <w:qFormat/>
    <w:uiPriority w:val="0"/>
    <w:pPr>
      <w:spacing w:before="0" w:beforeAutospacing="0" w:after="0" w:afterAutospacing="0"/>
      <w:ind w:left="0" w:right="0"/>
      <w:jc w:val="center"/>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7857</Words>
  <Characters>8339</Characters>
  <Lines>1</Lines>
  <Paragraphs>1</Paragraphs>
  <TotalTime>3</TotalTime>
  <ScaleCrop>false</ScaleCrop>
  <LinksUpToDate>false</LinksUpToDate>
  <CharactersWithSpaces>8736</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2026-04-24T23:21:00Z</dcterms:created>
  <dc:creator>56839</dc:creator>
  <cp:lastModifiedBy>56839</cp:lastModifiedBy>
  <dcterms:modified xsi:type="dcterms:W3CDTF">2026-04-25T00:58:32Z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eyJoZGlkIjoiNTg2NjhiYzVlZTIyYzRlOGJkZThkNjFlOWM1Y2RhZjUiLCJ1c2VySWQiOiIzODg3OTI3OTcifQ==</vt:lpwstr>
  </property>
  <property fmtid="{D5CDD505-2E9C-101B-9397-08002B2CF9AE}" pid="3" name="KSOProductBuildVer">
    <vt:lpwstr>2052-12.1.0.25865</vt:lpwstr>
  </property>
  <property fmtid="{D5CDD505-2E9C-101B-9397-08002B2CF9AE}" pid="4" name="ICV">
    <vt:lpwstr>993A0CF6A4B044DE8B186DBE22170645_13</vt:lpwstr>
  </property>
</Properties>
</file>