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申万宏源（000166）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['J67资本市场服务'] | ROE≈8.6% | 市值1104亿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申万宏源（000166）。2015-01-26上市。所属行业为['J67资本市场服务']。总市值约1104.3亿元，属大型企业。主营业务围绕['J67资本市场服务']展开。PE约11.2倍，处于低估值区间。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申万宏源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000166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['J67资本市场服务']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2015-01-26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1104.26亿元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申万宏源所属['J67资本市场服务']行业。由于概念标签数据当前不可获取（Tushare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申万宏源在['J67资本市场服务']领域运营。以下基于行业通用框架和公开信息进行分析。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从市值规模（1104.3亿元）判断，公司属于['J67资本市场服务']行业的大型平台型企业。在这个定位下，公司竞争策略可能以差异化产品或细分市场深耕为主，而非全品类价格战。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由PE11.2倍和总市值1104.3亿元推导，公司年化净利润约98.86亿。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若参考行业约7%的通用净利率水平，推导年营收约1412.29亿。此为间接估算，准确数据请查阅公司最新年报。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从['J67资本市场服务']行业的通用产业链位置来看：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上游：原材料供应商和设备制造商（具体取决于['J67资本市场服务']细分环节）。对于申万宏源这类企业，关键原材料包括钢材、有色金属、电子元器件等基础工业品，采购来源相对分散。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下游：['J67资本市场服务']的下游客户通常分布在制造业、电子行业、新能源等领域。具体客户结构因公司业务模式（直销/经销）和产品类型而异，集中度是重要风险指标。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合同负债（预收账款）是判断['J67资本市场服务']企业订单景气度的核心先行指标。完整数据请查阅公司最新季报资产负债表。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推导年化净利润约98.86亿（=总市值1104.3亿 ÷ PE11.2倍）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推导ROE约8.6%（=PB1.0 ÷ PE11.2）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资产负债率数据不可获取。对于['J67资本市场服务']行业，制造业企业通常资产负债率在40-60%区间为正常范围，超过70%需关注偿债压力。设备类企业固定资产占比高，折旧对利润侵蚀是重要关注点。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4.41元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1104.26亿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98.86亿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申万宏源所在赛道：['J67资本市场服务']。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J67资本市场服务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11.2x处于低估值区间，PB 0.96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1104.26亿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['J67资本市场服务']行业政策利好或下游需求爆发，带动公司订单增长和盈利改善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总市值1104.3亿元，适中的规模意味着业绩弹性较大，一旦基本面改善，利润和估值双升弹性显著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行业竞争风险：['J67资本市场服务']领域竞争格局可能发生变化，技术迭代、新进入者或产能过剩都可能压缩利润率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['J67资本市场服务']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20日涨-1.34%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申万宏源当前面临估值压力或基本面不确定性。建议等待更明确的信号（业绩拐点、行业催化剂）后再做判断。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行业前景：['J67资本市场服务']行业受益于国产替代和产业升级趋势，长期需求确定性较高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['J67资本市场服务']竞争加剧和技术迭代是基本面层面的核心风险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宏观经济波动可能影响申万宏源的下游需求和盈利能力，系统性风险不可忽视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行业催化事件——['J67资本市场服务']相关的政策利好、技术突破和龙头企业资本开支计划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可比公司估值对照——对比['J67资本市场服务']内同体量上市公司的PE中位数和PB均值，判断申万宏源的相对估值位置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