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南京公用（000421）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ROE≈3.2%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南京公用（000421）。所属行业为[]。总市值约30.2亿元，属中小型企业。主营业务围绕[]展开。PE约34.5倍，处于中等估值区间。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南京公用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000421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30.21亿元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南京公用所属[]行业。由于概念标签数据当前不可获取（Tushare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南京公用在[]领域运营。以下基于行业通用框架和公开信息进行分析。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由PE34.5倍和总市值30.2亿元推导，公司年化净利润约8800万。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上游：原材料供应商和设备制造商（具体取决于[]细分环节）。对于南京公用这类企业，关键原材料包括钢材、有色金属、电子元器件等基础工业品，采购来源相对分散。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推导年化净利润约8800万（=总市值30.2亿 ÷ PE34.5倍）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推导ROE约3.2%（=PB1.1 ÷ PE34.5）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南京公用所在赛道：[]。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34.5x、PB 1.09x处于行业中枢水平。估值的关键在于ROE（推导约3.2%）能否支撑当前PB，以及利润增速是否匹配PE水平。PE 34.5x隐含了约2.9%的盈利收益率期望。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30.21亿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公司业绩超预期增长，若净利润增速&gt;30%则当前PE34.5x有望被快速消化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估值压缩风险：PE34.5倍处于中等偏上，若市场情绪转向或行业景气度下行，估值可能压缩至20-25倍区间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PE34.5x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南京公用具有一定投资价值，但存在局部短板。建议在理解风险的前提下适度关注。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PE34.5x处于行业可接受范围，若净利润增速&gt;20%将形成合理估值支撑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宏观经济波动可能影响南京公用的下游需求和盈利能力，系统性风险不可忽视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可比公司估值对照——对比[]内同体量上市公司的PE中位数和PB均值，判断南京公用的相对估值位置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