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铜陵有色（000630）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ROE≈7.2% | 市值1026亿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铜陵有色（000630）。所属行业为[]。总市值约1025.8亿元，属大型企业。主营业务围绕[]展开。PE约39.0倍，处于中等估值区间。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铜陵有色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000630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1025.82亿元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铜陵有色所属[]行业。由于概念标签数据当前不可获取（Tushare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铜陵有色在[]领域运营。以下基于行业通用框架和公开信息进行分析。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从市值规模（1025.8亿元）判断，公司属于[]行业的大型平台型企业。在这个定位下，公司竞争策略可能以差异化产品或细分市场深耕为主，而非全品类价格战。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由PE39.0倍和总市值1025.8亿元推导，公司年化净利润约26.30亿。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若参考行业约7%的通用净利率水平，推导年营收约375.71亿。此为间接估算，准确数据请查阅公司最新年报。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上游：原材料供应商和设备制造商（具体取决于[]细分环节）。对于铜陵有色这类企业，关键原材料包括钢材、有色金属、电子元器件等基础工业品，采购来源相对分散。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推导年化净利润约26.30亿（=总市值1025.8亿 ÷ PE39.0倍）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推导ROE约7.2%（=PB2.8 ÷ PE39.0）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1025.82亿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7.68%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26.30亿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铜陵有色所在赛道：[]。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39.0x、PB 2.79x处于行业中枢水平。估值的关键在于ROE（推导约7.2%）能否支撑当前PB，以及利润增速是否匹配PE水平。PE 39.0x隐含了约2.6%的盈利收益率期望。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1025.82亿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7.68%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公司业绩超预期增长，若净利润增速&gt;30%则当前PE39.0x有望被快速消化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总市值1025.8亿元，适中的规模意味着业绩弹性较大，一旦基本面改善，利润和估值双升弹性显著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估值压缩风险：PE39.0倍处于中等偏上，若市场情绪转向或行业景气度下行，估值可能压缩至20-25倍区间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换手率7.68%适中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PE39.0x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换手率7.7%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铜陵有色具有一定投资价值，但存在局部短板。建议在理解风险的前提下适度关注。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PE39.0x处于行业可接受范围，若净利润增速&gt;20%将形成合理估值支撑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宏观经济波动可能影响铜陵有色的下游需求和盈利能力，系统性风险不可忽视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可比公司估值对照——对比[]内同体量上市公司的PE中位数和PB均值，判断铜陵有色的相对估值位置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