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惠天热电（000692）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ROE≈17.7% | 市值23亿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惠天热电（000692）。所属行业为[]。总市值约22.8亿元，属中小型企业。主营业务围绕[]展开。PE约69.5倍，处于高估值成长区间。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惠天热电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000692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22.81亿元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惠天热电所属[]行业。由于概念标签数据当前不可获取（Tushare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惠天热电在[]领域运营。以下基于行业通用框架和公开信息进行分析。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从市值规模（22.8亿元）判断，公司属于[]行业的中小型企业。在这个定位下，公司竞争策略可能以差异化产品或细分市场深耕为主，而非全品类价格战。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由PE69.5倍和总市值22.8亿元推导，公司年化净利润约3300万。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上游：原材料供应商和设备制造商（具体取决于[]细分环节）。对于惠天热电这类企业，关键原材料包括钢材、有色金属、电子元器件等基础工业品，采购来源相对分散。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推导年化净利润约3300万（=总市值22.8亿 ÷ PE69.5倍）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推导ROE约17.7%（=PB12.3 ÷ PE69.5）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惠天热电所在赛道：[]。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69.5x处于中等偏高区间。PB 12.30x。核心矛盾在于未来2-3年净利润增速能否消化当前PE。以69.5x PE计算，若净利润年增长20%，3年后PE降至约40.2x；若仅增长10%，3年后PE约52.3x。投资者需结合行业增速和公司市场份额变化判断增速假设的合理性。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69.5倍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12.30倍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22.81亿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公司业绩超预期增长，若净利润增速&gt;30%则当前PE69.5x有望被快速消化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总市值22.8亿元，适中的规模意味着业绩弹性较大，一旦基本面改善，利润和估值双升弹性显著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高估值回调风险：PE69.5倍处于高估值区间，若业绩不及预期可能面临"戴维斯双杀"（估值+业绩双重下修），PE从69.5x回落至35x可能导致股价腰斩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高PB风险：PB12.30x需要高ROE支撑，若ROE下滑PB将面临均值回归压力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PE69.5x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惠天热电当前面临较多不确定性，且数据支撑不足。建议以外围观察为主，不急于参与。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PE69.5x虽高，若公司处于[]高景气赛道且增长确定性高，高估值可能被业绩消化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ROE17.7%处于良好水平，显示公司资本运用效率较高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PE69.5x处于高位，估值回调风险是最大隐患——若业绩不及预期，可能面临杀估值+杀业绩双杀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PB12.30x需要极强ROE支撑，若ROE无法持续&gt;20%，PB将面临均值回归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宏观经济波动可能影响惠天热电的下游需求和盈利能力，系统性风险不可忽视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可比公司估值对照——对比[]内同体量上市公司的PE中位数和PB均值，判断惠天热电的相对估值位置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